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next Kampalas: open-data screening of valley-floor encroachment and flood exposure in Uganda’s growing regional cities</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Cities</w:t>
      </w:r>
      <w:r>
        <w:t xml:space="preserve">;</w:t>
      </w:r>
      <w:r>
        <w:t xml:space="preserve"> </w:t>
      </w:r>
      <w:r>
        <w:rPr>
          <w:i/>
          <w:iCs/>
        </w:rPr>
        <w:t xml:space="preserve">Habitat International</w:t>
      </w:r>
      <w:r>
        <w:t xml:space="preserve">;</w:t>
      </w:r>
      <w:r>
        <w:t xml:space="preserve"> </w:t>
      </w:r>
      <w:r>
        <w:rPr>
          <w:i/>
          <w:iCs/>
        </w:rPr>
        <w:t xml:space="preserve">Applied Geography</w:t>
      </w:r>
      <w:r>
        <w:t xml:space="preserve">;</w:t>
      </w:r>
      <w:r>
        <w:t xml:space="preserve"> </w:t>
      </w:r>
      <w:r>
        <w:rPr>
          <w:i/>
          <w:iCs/>
        </w:rPr>
        <w:t xml:space="preserve">Journal of Urban Management</w:t>
      </w:r>
      <w:r>
        <w:t xml:space="preserve">.</w:t>
      </w:r>
    </w:p>
    <w:bookmarkStart w:id="9" w:name="abstract"/>
    <w:p>
      <w:pPr>
        <w:pStyle w:val="Heading1"/>
      </w:pPr>
      <w:r>
        <w:t xml:space="preserve">Abstract</w:t>
      </w:r>
    </w:p>
    <w:p>
      <w:pPr>
        <w:pStyle w:val="FirstParagraph"/>
      </w:pPr>
      <w:r>
        <w:t xml:space="preserve">Uganda’s Fourth National Development Plan (NDP IV) promotes regional cities as growth centres, yet almost nothing is known about their flood exposure. We apply one open-data method to Kampala and five regional cities: Jinja, Mbale, Gulu, Mbarara and Arua. Identical rules are used everywhere:</w:t>
      </w:r>
      <w:r>
        <w:t xml:space="preserve"> </w:t>
      </w:r>
      <w:r>
        <w:t xml:space="preserve">- channels and height above the nearest drain from the Copernicus 30 m terrain model;</w:t>
      </w:r>
      <w:r>
        <w:t xml:space="preserve"> </w:t>
      </w:r>
      <w:r>
        <w:t xml:space="preserve">- built-up area and population from JRC GHSL (1975–2030);</w:t>
      </w:r>
      <w:r>
        <w:t xml:space="preserve"> </w:t>
      </w:r>
      <w:r>
        <w:t xml:space="preserve">- building footprints from Microsoft.</w:t>
      </w:r>
    </w:p>
    <w:p>
      <w:pPr>
        <w:pStyle w:val="BodyText"/>
      </w:pPr>
      <w:r>
        <w:t xml:space="preserve">Kampala’s valley floors were built over earliest and most (2.3% in 1975, 7.9% in 2020, 8.7% projected for 2030). The regional cities start from far lower levels (1–3% in 2020), but their exposure is accelerating. In Kampala, the population on low ground beside channels is now projected to grow more slowly than the city (2.4% vs 3.5% a year, 2020–30). In every regional city it grows faster: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Low ground (% a year)</w:t>
            </w:r>
          </w:p>
        </w:tc>
        <w:tc>
          <w:tcPr/>
          <w:p>
            <w:pPr>
              <w:pStyle w:val="Compact"/>
            </w:pPr>
            <w:r>
              <w:t xml:space="preserve">Whole city (% a year)</w:t>
            </w:r>
          </w:p>
        </w:tc>
      </w:tr>
      <w:tr>
        <w:tc>
          <w:tcPr/>
          <w:p>
            <w:pPr>
              <w:pStyle w:val="Compact"/>
            </w:pPr>
            <w:r>
              <w:t xml:space="preserve">Mbarara</w:t>
            </w:r>
          </w:p>
        </w:tc>
        <w:tc>
          <w:tcPr/>
          <w:p>
            <w:pPr>
              <w:pStyle w:val="Compact"/>
            </w:pPr>
            <w:r>
              <w:t xml:space="preserve">7.3</w:t>
            </w:r>
          </w:p>
        </w:tc>
        <w:tc>
          <w:tcPr/>
          <w:p>
            <w:pPr>
              <w:pStyle w:val="Compact"/>
            </w:pPr>
            <w:r>
              <w:t xml:space="preserve">5.7</w:t>
            </w:r>
          </w:p>
        </w:tc>
      </w:tr>
      <w:tr>
        <w:tc>
          <w:tcPr/>
          <w:p>
            <w:pPr>
              <w:pStyle w:val="Compact"/>
            </w:pPr>
            <w:r>
              <w:t xml:space="preserve">Gulu</w:t>
            </w:r>
          </w:p>
        </w:tc>
        <w:tc>
          <w:tcPr/>
          <w:p>
            <w:pPr>
              <w:pStyle w:val="Compact"/>
            </w:pPr>
            <w:r>
              <w:t xml:space="preserve">6.7</w:t>
            </w:r>
          </w:p>
        </w:tc>
        <w:tc>
          <w:tcPr/>
          <w:p>
            <w:pPr>
              <w:pStyle w:val="Compact"/>
            </w:pPr>
            <w:r>
              <w:t xml:space="preserve">3.4</w:t>
            </w:r>
          </w:p>
        </w:tc>
      </w:tr>
      <w:tr>
        <w:tc>
          <w:tcPr/>
          <w:p>
            <w:pPr>
              <w:pStyle w:val="Compact"/>
            </w:pPr>
            <w:r>
              <w:t xml:space="preserve">Mbale</w:t>
            </w:r>
          </w:p>
        </w:tc>
        <w:tc>
          <w:tcPr/>
          <w:p>
            <w:pPr>
              <w:pStyle w:val="Compact"/>
            </w:pPr>
            <w:r>
              <w:t xml:space="preserve">5.5</w:t>
            </w:r>
          </w:p>
        </w:tc>
        <w:tc>
          <w:tcPr/>
          <w:p>
            <w:pPr>
              <w:pStyle w:val="Compact"/>
            </w:pPr>
            <w:r>
              <w:t xml:space="preserve">3.0</w:t>
            </w:r>
          </w:p>
        </w:tc>
      </w:tr>
      <w:tr>
        <w:tc>
          <w:tcPr/>
          <w:p>
            <w:pPr>
              <w:pStyle w:val="Compact"/>
            </w:pPr>
            <w:r>
              <w:t xml:space="preserve">Jinja</w:t>
            </w:r>
          </w:p>
        </w:tc>
        <w:tc>
          <w:tcPr/>
          <w:p>
            <w:pPr>
              <w:pStyle w:val="Compact"/>
            </w:pPr>
            <w:r>
              <w:t xml:space="preserve">3.7</w:t>
            </w:r>
          </w:p>
        </w:tc>
        <w:tc>
          <w:tcPr/>
          <w:p>
            <w:pPr>
              <w:pStyle w:val="Compact"/>
            </w:pPr>
            <w:r>
              <w:t xml:space="preserve">1.8</w:t>
            </w:r>
          </w:p>
        </w:tc>
      </w:tr>
      <w:tr>
        <w:tc>
          <w:tcPr/>
          <w:p>
            <w:pPr>
              <w:pStyle w:val="Compact"/>
            </w:pPr>
            <w:r>
              <w:t xml:space="preserve">Arua</w:t>
            </w:r>
          </w:p>
        </w:tc>
        <w:tc>
          <w:tcPr/>
          <w:p>
            <w:pPr>
              <w:pStyle w:val="Compact"/>
            </w:pPr>
            <w:r>
              <w:t xml:space="preserve">3.5</w:t>
            </w:r>
          </w:p>
        </w:tc>
        <w:tc>
          <w:tcPr/>
          <w:p>
            <w:pPr>
              <w:pStyle w:val="Compact"/>
            </w:pPr>
            <w:r>
              <w:t xml:space="preserve">2.1</w:t>
            </w:r>
          </w:p>
        </w:tc>
      </w:tr>
    </w:tbl>
    <w:p>
      <w:pPr>
        <w:pStyle w:val="BodyText"/>
      </w:pPr>
      <w:r>
        <w:t xml:space="preserve">People on low ground are projected to double in Gulu and Mbarara between 2020 and 2030. The regional cities are where Kampala was in the 1980s and 1990s: valley floors largely open but starting to fill. Protecting them now, through gazetted no-build valley corridors in physical development plans, costs a fraction of what Kampala now spends on flood recovery and drainage retrofits.</w:t>
      </w:r>
    </w:p>
    <w:bookmarkEnd w:id="9"/>
    <w:bookmarkStart w:id="10" w:name="introduction"/>
    <w:p>
      <w:pPr>
        <w:pStyle w:val="Heading1"/>
      </w:pPr>
      <w:r>
        <w:t xml:space="preserve">1. Introduction</w:t>
      </w:r>
    </w:p>
    <w:p>
      <w:pPr>
        <w:pStyle w:val="Compact"/>
        <w:numPr>
          <w:ilvl w:val="0"/>
          <w:numId w:val="1001"/>
        </w:numPr>
      </w:pPr>
      <w:r>
        <w:t xml:space="preserve">Kampala’s flood problem has been built over five decades. Valley-floor wetlands were filled, exposure grew to about 205,000 people on low ground beside channels (Paper D), and storage was lost (Paper 1). Flood hotspots followed (Paper A).</w:t>
      </w:r>
    </w:p>
    <w:p>
      <w:pPr>
        <w:pStyle w:val="Compact"/>
        <w:numPr>
          <w:ilvl w:val="0"/>
          <w:numId w:val="1001"/>
        </w:numPr>
      </w:pPr>
      <w:r>
        <w:t xml:space="preserve">NDP IV and the National Physical Development Plan direct growth to regional cities, including Jinja, Mbale, Gulu, Mbarara and Arua. These cities have physical development plans but few flood studies, and their drainage, data and enforcement capacity is much thinner than KCCA’s.</w:t>
      </w:r>
    </w:p>
    <w:p>
      <w:pPr>
        <w:pStyle w:val="Compact"/>
        <w:numPr>
          <w:ilvl w:val="0"/>
          <w:numId w:val="1001"/>
        </w:numPr>
      </w:pPr>
      <w:r>
        <w:rPr>
          <w:b/>
          <w:bCs/>
        </w:rPr>
        <w:t xml:space="preserve">Questions:</w:t>
      </w:r>
    </w:p>
    <w:p>
      <w:pPr>
        <w:pStyle w:val="Compact"/>
        <w:numPr>
          <w:ilvl w:val="1"/>
          <w:numId w:val="1002"/>
        </w:numPr>
      </w:pPr>
      <w:r>
        <w:t xml:space="preserve">RQ1: How far have regional cities built onto their valley floors, compared with Kampala?</w:t>
      </w:r>
    </w:p>
    <w:p>
      <w:pPr>
        <w:pStyle w:val="Compact"/>
        <w:numPr>
          <w:ilvl w:val="1"/>
          <w:numId w:val="1002"/>
        </w:numPr>
      </w:pPr>
      <w:r>
        <w:t xml:space="preserve">RQ2: Is population on low ground growing faster than the cities themselves?</w:t>
      </w:r>
    </w:p>
    <w:p>
      <w:pPr>
        <w:pStyle w:val="Compact"/>
        <w:numPr>
          <w:ilvl w:val="1"/>
          <w:numId w:val="1002"/>
        </w:numPr>
      </w:pPr>
      <w:r>
        <w:t xml:space="preserve">RQ3: Can a uniform, open, reproducible method support national screening?</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Terrain, channels, HAND</w:t>
            </w:r>
          </w:p>
        </w:tc>
        <w:tc>
          <w:tcPr/>
          <w:p>
            <w:pPr>
              <w:pStyle w:val="Compact"/>
            </w:pPr>
            <w:r>
              <w:t xml:space="preserve">Copernicus GLO-30 DEM; D8 routing (pysheds); channels = cells draining ≥ 0.25 km²</w:t>
            </w:r>
          </w:p>
        </w:tc>
      </w:tr>
      <w:tr>
        <w:tc>
          <w:tcPr/>
          <w:p>
            <w:pPr>
              <w:pStyle w:val="Compact"/>
            </w:pPr>
            <w:r>
              <w:t xml:space="preserve">Built-up, population 1975–2030</w:t>
            </w:r>
          </w:p>
        </w:tc>
        <w:tc>
          <w:tcPr/>
          <w:p>
            <w:pPr>
              <w:pStyle w:val="Compact"/>
            </w:pPr>
            <w:r>
              <w:t xml:space="preserve">JRC GHS-BUILT-S and GHS-POP R2023A (2025, 2030 projected)</w:t>
            </w:r>
          </w:p>
        </w:tc>
      </w:tr>
      <w:tr>
        <w:tc>
          <w:tcPr/>
          <w:p>
            <w:pPr>
              <w:pStyle w:val="Compact"/>
            </w:pPr>
            <w:r>
              <w:t xml:space="preserve">Buildings</w:t>
            </w:r>
          </w:p>
        </w:tc>
        <w:tc>
          <w:tcPr/>
          <w:p>
            <w:pPr>
              <w:pStyle w:val="Compact"/>
            </w:pPr>
            <w:r>
              <w:t xml:space="preserve">Microsoft Global ML Building Footprints</w:t>
            </w:r>
          </w:p>
        </w:tc>
      </w:tr>
    </w:tbl>
    <w:p>
      <w:pPr>
        <w:pStyle w:val="BodyText"/>
      </w:pPr>
      <w:r>
        <w:rPr>
          <w:b/>
          <w:bCs/>
        </w:rPr>
        <w:t xml:space="preserve">Study areas.</w:t>
      </w:r>
      <w:r>
        <w:t xml:space="preserve"> </w:t>
      </w:r>
      <w:r>
        <w:t xml:space="preserve">Square windows of about 18 km around each city centre (Kampala: the 30 × 24 km core used throughout this programme).</w:t>
      </w:r>
    </w:p>
    <w:p>
      <w:pPr>
        <w:pStyle w:val="BodyText"/>
      </w:pPr>
      <w:r>
        <w:rPr>
          <w:b/>
          <w:bCs/>
        </w:rPr>
        <w:t xml:space="preserve">Definitions:</w:t>
      </w:r>
      <w:r>
        <w:t xml:space="preserve"> </w:t>
      </w:r>
      <w:r>
        <w:t xml:space="preserve">-</w:t>
      </w:r>
      <w:r>
        <w:t xml:space="preserve"> </w:t>
      </w:r>
      <w:r>
        <w:rPr>
          <w:i/>
          <w:iCs/>
        </w:rPr>
        <w:t xml:space="preserve">Low ground</w:t>
      </w:r>
      <w:r>
        <w:t xml:space="preserve">: HAND &lt; 2 m and within 150 m of a channel.</w:t>
      </w:r>
      <w:r>
        <w:t xml:space="preserve"> </w:t>
      </w:r>
      <w:r>
        <w:t xml:space="preserve">-</w:t>
      </w:r>
      <w:r>
        <w:t xml:space="preserve"> </w:t>
      </w:r>
      <w:r>
        <w:rPr>
          <w:i/>
          <w:iCs/>
        </w:rPr>
        <w:t xml:space="preserve">Valley floor</w:t>
      </w:r>
      <w:r>
        <w:t xml:space="preserve">: HAND &lt; 3 m.</w:t>
      </w:r>
      <w:r>
        <w:t xml:space="preserve"> </w:t>
      </w:r>
      <w:r>
        <w:t xml:space="preserve">-</w:t>
      </w:r>
      <w:r>
        <w:t xml:space="preserve"> </w:t>
      </w:r>
      <w:r>
        <w:rPr>
          <w:i/>
          <w:iCs/>
        </w:rPr>
        <w:t xml:space="preserve">1 m storage</w:t>
      </w:r>
      <w:r>
        <w:t xml:space="preserve">: capacity to hold water 1 m above the drains on valley floor not built over.</w:t>
      </w:r>
    </w:p>
    <w:p>
      <w:pPr>
        <w:pStyle w:val="BodyText"/>
      </w:pPr>
      <w:r>
        <w:t xml:space="preserve">Channels come from the terrain rather than OpenStreetMap, so that coverage is equal in every city. The Kampala figures here therefore differ slightly from Papers A and D, which used OSM channels.</w:t>
      </w:r>
    </w:p>
    <w:bookmarkEnd w:id="11"/>
    <w:bookmarkStart w:id="12" w:name="results"/>
    <w:p>
      <w:pPr>
        <w:pStyle w:val="Heading1"/>
      </w:pPr>
      <w:r>
        <w:t xml:space="preserve">3. Results</w:t>
      </w:r>
    </w:p>
    <w:p>
      <w:pPr>
        <w:pStyle w:val="FirstParagraph"/>
      </w:pPr>
      <w:r>
        <w:rPr>
          <w:b/>
          <w:bCs/>
        </w:rPr>
        <w:t xml:space="preserve">3.1 Valley floors built over.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City</w:t>
            </w:r>
          </w:p>
        </w:tc>
        <w:tc>
          <w:tcPr/>
          <w:p>
            <w:pPr>
              <w:pStyle w:val="Compact"/>
            </w:pPr>
            <w:r>
              <w:t xml:space="preserve">1975</w:t>
            </w:r>
          </w:p>
        </w:tc>
        <w:tc>
          <w:tcPr/>
          <w:p>
            <w:pPr>
              <w:pStyle w:val="Compact"/>
            </w:pPr>
            <w:r>
              <w:t xml:space="preserve">1995</w:t>
            </w:r>
          </w:p>
        </w:tc>
        <w:tc>
          <w:tcPr/>
          <w:p>
            <w:pPr>
              <w:pStyle w:val="Compact"/>
            </w:pPr>
            <w:r>
              <w:t xml:space="preserve">2005</w:t>
            </w:r>
          </w:p>
        </w:tc>
        <w:tc>
          <w:tcPr/>
          <w:p>
            <w:pPr>
              <w:pStyle w:val="Compact"/>
            </w:pPr>
            <w:r>
              <w:t xml:space="preserve">2020</w:t>
            </w:r>
          </w:p>
        </w:tc>
        <w:tc>
          <w:tcPr/>
          <w:p>
            <w:pPr>
              <w:pStyle w:val="Compact"/>
            </w:pPr>
            <w:r>
              <w:t xml:space="preserve">2030 (proj.)</w:t>
            </w:r>
          </w:p>
        </w:tc>
        <w:tc>
          <w:tcPr/>
          <w:p>
            <w:pPr>
              <w:pStyle w:val="Compact"/>
            </w:pPr>
            <w:r>
              <w:t xml:space="preserve">Storage lost 1975–2020</w:t>
            </w:r>
          </w:p>
        </w:tc>
      </w:tr>
      <w:tr>
        <w:tc>
          <w:tcPr/>
          <w:p>
            <w:pPr>
              <w:pStyle w:val="Compact"/>
            </w:pPr>
            <w:r>
              <w:t xml:space="preserve">Kampala</w:t>
            </w:r>
          </w:p>
        </w:tc>
        <w:tc>
          <w:tcPr/>
          <w:p>
            <w:pPr>
              <w:pStyle w:val="Compact"/>
            </w:pPr>
            <w:r>
              <w:t xml:space="preserve">2.3%</w:t>
            </w:r>
          </w:p>
        </w:tc>
        <w:tc>
          <w:tcPr/>
          <w:p>
            <w:pPr>
              <w:pStyle w:val="Compact"/>
            </w:pPr>
            <w:r>
              <w:t xml:space="preserve">4.3%</w:t>
            </w:r>
          </w:p>
        </w:tc>
        <w:tc>
          <w:tcPr/>
          <w:p>
            <w:pPr>
              <w:pStyle w:val="Compact"/>
            </w:pPr>
            <w:r>
              <w:t xml:space="preserve">5.7%</w:t>
            </w:r>
          </w:p>
        </w:tc>
        <w:tc>
          <w:tcPr/>
          <w:p>
            <w:pPr>
              <w:pStyle w:val="Compact"/>
            </w:pPr>
            <w:r>
              <w:t xml:space="preserve">7.9%</w:t>
            </w:r>
          </w:p>
        </w:tc>
        <w:tc>
          <w:tcPr/>
          <w:p>
            <w:pPr>
              <w:pStyle w:val="Compact"/>
            </w:pPr>
            <w:r>
              <w:t xml:space="preserve">8.7%</w:t>
            </w:r>
          </w:p>
        </w:tc>
        <w:tc>
          <w:tcPr/>
          <w:p>
            <w:pPr>
              <w:pStyle w:val="Compact"/>
            </w:pPr>
            <w:r>
              <w:t xml:space="preserve">3.9%</w:t>
            </w:r>
          </w:p>
        </w:tc>
      </w:tr>
      <w:tr>
        <w:tc>
          <w:tcPr/>
          <w:p>
            <w:pPr>
              <w:pStyle w:val="Compact"/>
            </w:pPr>
            <w:r>
              <w:t xml:space="preserve">Arua</w:t>
            </w:r>
          </w:p>
        </w:tc>
        <w:tc>
          <w:tcPr/>
          <w:p>
            <w:pPr>
              <w:pStyle w:val="Compact"/>
            </w:pPr>
            <w:r>
              <w:t xml:space="preserve">0.8%</w:t>
            </w:r>
          </w:p>
        </w:tc>
        <w:tc>
          <w:tcPr/>
          <w:p>
            <w:pPr>
              <w:pStyle w:val="Compact"/>
            </w:pPr>
            <w:r>
              <w:t xml:space="preserve">1.7%</w:t>
            </w:r>
          </w:p>
        </w:tc>
        <w:tc>
          <w:tcPr/>
          <w:p>
            <w:pPr>
              <w:pStyle w:val="Compact"/>
            </w:pPr>
            <w:r>
              <w:t xml:space="preserve">2.4%</w:t>
            </w:r>
          </w:p>
        </w:tc>
        <w:tc>
          <w:tcPr/>
          <w:p>
            <w:pPr>
              <w:pStyle w:val="Compact"/>
            </w:pPr>
            <w:r>
              <w:t xml:space="preserve">3.1%</w:t>
            </w:r>
          </w:p>
        </w:tc>
        <w:tc>
          <w:tcPr/>
          <w:p>
            <w:pPr>
              <w:pStyle w:val="Compact"/>
            </w:pPr>
            <w:r>
              <w:t xml:space="preserve">3.9%</w:t>
            </w:r>
          </w:p>
        </w:tc>
        <w:tc>
          <w:tcPr/>
          <w:p>
            <w:pPr>
              <w:pStyle w:val="Compact"/>
            </w:pPr>
            <w:r>
              <w:t xml:space="preserve">2.2%</w:t>
            </w:r>
          </w:p>
        </w:tc>
      </w:tr>
      <w:tr>
        <w:tc>
          <w:tcPr/>
          <w:p>
            <w:pPr>
              <w:pStyle w:val="Compact"/>
            </w:pPr>
            <w:r>
              <w:t xml:space="preserve">Mbale</w:t>
            </w:r>
          </w:p>
        </w:tc>
        <w:tc>
          <w:tcPr/>
          <w:p>
            <w:pPr>
              <w:pStyle w:val="Compact"/>
            </w:pPr>
            <w:r>
              <w:t xml:space="preserve">0.3%</w:t>
            </w:r>
          </w:p>
        </w:tc>
        <w:tc>
          <w:tcPr/>
          <w:p>
            <w:pPr>
              <w:pStyle w:val="Compact"/>
            </w:pPr>
            <w:r>
              <w:t xml:space="preserve">1.1%</w:t>
            </w:r>
          </w:p>
        </w:tc>
        <w:tc>
          <w:tcPr/>
          <w:p>
            <w:pPr>
              <w:pStyle w:val="Compact"/>
            </w:pPr>
            <w:r>
              <w:t xml:space="preserve">1.5%</w:t>
            </w:r>
          </w:p>
        </w:tc>
        <w:tc>
          <w:tcPr/>
          <w:p>
            <w:pPr>
              <w:pStyle w:val="Compact"/>
            </w:pPr>
            <w:r>
              <w:t xml:space="preserve">2.4%</w:t>
            </w:r>
          </w:p>
        </w:tc>
        <w:tc>
          <w:tcPr/>
          <w:p>
            <w:pPr>
              <w:pStyle w:val="Compact"/>
            </w:pPr>
            <w:r>
              <w:t xml:space="preserve">3.2%</w:t>
            </w:r>
          </w:p>
        </w:tc>
        <w:tc>
          <w:tcPr/>
          <w:p>
            <w:pPr>
              <w:pStyle w:val="Compact"/>
            </w:pPr>
            <w:r>
              <w:t xml:space="preserve">1.7%</w:t>
            </w:r>
          </w:p>
        </w:tc>
      </w:tr>
      <w:tr>
        <w:tc>
          <w:tcPr/>
          <w:p>
            <w:pPr>
              <w:pStyle w:val="Compact"/>
            </w:pPr>
            <w:r>
              <w:t xml:space="preserve">Gulu</w:t>
            </w:r>
          </w:p>
        </w:tc>
        <w:tc>
          <w:tcPr/>
          <w:p>
            <w:pPr>
              <w:pStyle w:val="Compact"/>
            </w:pPr>
            <w:r>
              <w:t xml:space="preserve">0.1%</w:t>
            </w:r>
          </w:p>
        </w:tc>
        <w:tc>
          <w:tcPr/>
          <w:p>
            <w:pPr>
              <w:pStyle w:val="Compact"/>
            </w:pPr>
            <w:r>
              <w:t xml:space="preserve">0.4%</w:t>
            </w:r>
          </w:p>
        </w:tc>
        <w:tc>
          <w:tcPr/>
          <w:p>
            <w:pPr>
              <w:pStyle w:val="Compact"/>
            </w:pPr>
            <w:r>
              <w:t xml:space="preserve">0.8%</w:t>
            </w:r>
          </w:p>
        </w:tc>
        <w:tc>
          <w:tcPr/>
          <w:p>
            <w:pPr>
              <w:pStyle w:val="Compact"/>
            </w:pPr>
            <w:r>
              <w:t xml:space="preserve">1.4%</w:t>
            </w:r>
          </w:p>
        </w:tc>
        <w:tc>
          <w:tcPr/>
          <w:p>
            <w:pPr>
              <w:pStyle w:val="Compact"/>
            </w:pPr>
            <w:r>
              <w:t xml:space="preserve">2.2%</w:t>
            </w:r>
          </w:p>
        </w:tc>
        <w:tc>
          <w:tcPr/>
          <w:p>
            <w:pPr>
              <w:pStyle w:val="Compact"/>
            </w:pPr>
            <w:r>
              <w:t xml:space="preserve">1.1%</w:t>
            </w:r>
          </w:p>
        </w:tc>
      </w:tr>
      <w:tr>
        <w:tc>
          <w:tcPr/>
          <w:p>
            <w:pPr>
              <w:pStyle w:val="Compact"/>
            </w:pPr>
            <w:r>
              <w:t xml:space="preserve">Mbarara</w:t>
            </w:r>
          </w:p>
        </w:tc>
        <w:tc>
          <w:tcPr/>
          <w:p>
            <w:pPr>
              <w:pStyle w:val="Compact"/>
            </w:pPr>
            <w:r>
              <w:t xml:space="preserve">0.2%</w:t>
            </w:r>
          </w:p>
        </w:tc>
        <w:tc>
          <w:tcPr/>
          <w:p>
            <w:pPr>
              <w:pStyle w:val="Compact"/>
            </w:pPr>
            <w:r>
              <w:t xml:space="preserve">0.6%</w:t>
            </w:r>
          </w:p>
        </w:tc>
        <w:tc>
          <w:tcPr/>
          <w:p>
            <w:pPr>
              <w:pStyle w:val="Compact"/>
            </w:pPr>
            <w:r>
              <w:t xml:space="preserve">0.7%</w:t>
            </w:r>
          </w:p>
        </w:tc>
        <w:tc>
          <w:tcPr/>
          <w:p>
            <w:pPr>
              <w:pStyle w:val="Compact"/>
            </w:pPr>
            <w:r>
              <w:t xml:space="preserve">1.4%</w:t>
            </w:r>
          </w:p>
        </w:tc>
        <w:tc>
          <w:tcPr/>
          <w:p>
            <w:pPr>
              <w:pStyle w:val="Compact"/>
            </w:pPr>
            <w:r>
              <w:t xml:space="preserve">1.9%</w:t>
            </w:r>
          </w:p>
        </w:tc>
        <w:tc>
          <w:tcPr/>
          <w:p>
            <w:pPr>
              <w:pStyle w:val="Compact"/>
            </w:pPr>
            <w:r>
              <w:t xml:space="preserve">1.0%</w:t>
            </w:r>
          </w:p>
        </w:tc>
      </w:tr>
      <w:tr>
        <w:tc>
          <w:tcPr/>
          <w:p>
            <w:pPr>
              <w:pStyle w:val="Compact"/>
            </w:pPr>
            <w:r>
              <w:t xml:space="preserve">Jinja</w:t>
            </w:r>
          </w:p>
        </w:tc>
        <w:tc>
          <w:tcPr/>
          <w:p>
            <w:pPr>
              <w:pStyle w:val="Compact"/>
            </w:pPr>
            <w:r>
              <w:t xml:space="preserve">0.2%</w:t>
            </w:r>
          </w:p>
        </w:tc>
        <w:tc>
          <w:tcPr/>
          <w:p>
            <w:pPr>
              <w:pStyle w:val="Compact"/>
            </w:pPr>
            <w:r>
              <w:t xml:space="preserve">0.6%</w:t>
            </w:r>
          </w:p>
        </w:tc>
        <w:tc>
          <w:tcPr/>
          <w:p>
            <w:pPr>
              <w:pStyle w:val="Compact"/>
            </w:pPr>
            <w:r>
              <w:t xml:space="preserve">0.8%</w:t>
            </w:r>
          </w:p>
        </w:tc>
        <w:tc>
          <w:tcPr/>
          <w:p>
            <w:pPr>
              <w:pStyle w:val="Compact"/>
            </w:pPr>
            <w:r>
              <w:t xml:space="preserve">1.1%</w:t>
            </w:r>
          </w:p>
        </w:tc>
        <w:tc>
          <w:tcPr/>
          <w:p>
            <w:pPr>
              <w:pStyle w:val="Compact"/>
            </w:pPr>
            <w:r>
              <w:t xml:space="preserve">1.3%</w:t>
            </w:r>
          </w:p>
        </w:tc>
        <w:tc>
          <w:tcPr/>
          <w:p>
            <w:pPr>
              <w:pStyle w:val="Compact"/>
            </w:pPr>
            <w:r>
              <w:t xml:space="preserve">0.4%</w:t>
            </w:r>
          </w:p>
        </w:tc>
      </w:tr>
    </w:tbl>
    <w:p>
      <w:pPr>
        <w:pStyle w:val="BodyText"/>
      </w:pPr>
      <w:r>
        <w:t xml:space="preserve">(GHSL built-up share, uncalibrated, for comparability across cities; Fig. kd40a.)</w:t>
      </w:r>
    </w:p>
    <w:p>
      <w:pPr>
        <w:pStyle w:val="BodyText"/>
      </w:pPr>
      <w:r>
        <w:rPr>
          <w:b/>
          <w:bCs/>
        </w:rPr>
        <w:t xml:space="preserve">3.2 People in the water’s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On low ground, 1975</w:t>
            </w:r>
          </w:p>
        </w:tc>
        <w:tc>
          <w:tcPr/>
          <w:p>
            <w:pPr>
              <w:pStyle w:val="Compact"/>
            </w:pPr>
            <w:r>
              <w:t xml:space="preserve">2020</w:t>
            </w:r>
          </w:p>
        </w:tc>
        <w:tc>
          <w:tcPr/>
          <w:p>
            <w:pPr>
              <w:pStyle w:val="Compact"/>
            </w:pPr>
            <w:r>
              <w:t xml:space="preserve">2030 (proj.)</w:t>
            </w:r>
          </w:p>
        </w:tc>
        <w:tc>
          <w:tcPr/>
          <w:p>
            <w:pPr>
              <w:pStyle w:val="Compact"/>
            </w:pPr>
            <w:r>
              <w:t xml:space="preserve">Share of area, 2020</w:t>
            </w:r>
          </w:p>
        </w:tc>
        <w:tc>
          <w:tcPr/>
          <w:p>
            <w:pPr>
              <w:pStyle w:val="Compact"/>
            </w:pPr>
            <w:r>
              <w:t xml:space="preserve">Growth 2020–30, low ground vs whole area (% a year)</w:t>
            </w:r>
          </w:p>
        </w:tc>
      </w:tr>
      <w:tr>
        <w:tc>
          <w:tcPr/>
          <w:p>
            <w:pPr>
              <w:pStyle w:val="Compact"/>
            </w:pPr>
            <w:r>
              <w:t xml:space="preserve">Kampala</w:t>
            </w:r>
          </w:p>
        </w:tc>
        <w:tc>
          <w:tcPr/>
          <w:p>
            <w:pPr>
              <w:pStyle w:val="Compact"/>
            </w:pPr>
            <w:r>
              <w:t xml:space="preserve">41,800</w:t>
            </w:r>
          </w:p>
        </w:tc>
        <w:tc>
          <w:tcPr/>
          <w:p>
            <w:pPr>
              <w:pStyle w:val="Compact"/>
            </w:pPr>
            <w:r>
              <w:t xml:space="preserve">324,500</w:t>
            </w:r>
          </w:p>
        </w:tc>
        <w:tc>
          <w:tcPr/>
          <w:p>
            <w:pPr>
              <w:pStyle w:val="Compact"/>
            </w:pPr>
            <w:r>
              <w:t xml:space="preserve">411,300</w:t>
            </w:r>
          </w:p>
        </w:tc>
        <w:tc>
          <w:tcPr/>
          <w:p>
            <w:pPr>
              <w:pStyle w:val="Compact"/>
            </w:pPr>
            <w:r>
              <w:t xml:space="preserve">9.0%</w:t>
            </w:r>
          </w:p>
        </w:tc>
        <w:tc>
          <w:tcPr/>
          <w:p>
            <w:pPr>
              <w:pStyle w:val="Compact"/>
            </w:pPr>
            <w:r>
              <w:t xml:space="preserve">2.4 vs 3.5</w:t>
            </w:r>
          </w:p>
        </w:tc>
      </w:tr>
      <w:tr>
        <w:tc>
          <w:tcPr/>
          <w:p>
            <w:pPr>
              <w:pStyle w:val="Compact"/>
            </w:pPr>
            <w:r>
              <w:t xml:space="preserve">Mbale</w:t>
            </w:r>
          </w:p>
        </w:tc>
        <w:tc>
          <w:tcPr/>
          <w:p>
            <w:pPr>
              <w:pStyle w:val="Compact"/>
            </w:pPr>
            <w:r>
              <w:t xml:space="preserve">4,300</w:t>
            </w:r>
          </w:p>
        </w:tc>
        <w:tc>
          <w:tcPr/>
          <w:p>
            <w:pPr>
              <w:pStyle w:val="Compact"/>
            </w:pPr>
            <w:r>
              <w:t xml:space="preserve">30,300</w:t>
            </w:r>
          </w:p>
        </w:tc>
        <w:tc>
          <w:tcPr/>
          <w:p>
            <w:pPr>
              <w:pStyle w:val="Compact"/>
            </w:pPr>
            <w:r>
              <w:t xml:space="preserve">51,700</w:t>
            </w:r>
          </w:p>
        </w:tc>
        <w:tc>
          <w:tcPr/>
          <w:p>
            <w:pPr>
              <w:pStyle w:val="Compact"/>
            </w:pPr>
            <w:r>
              <w:t xml:space="preserve">6.4%</w:t>
            </w:r>
          </w:p>
        </w:tc>
        <w:tc>
          <w:tcPr/>
          <w:p>
            <w:pPr>
              <w:pStyle w:val="Compact"/>
            </w:pPr>
            <w:r>
              <w:t xml:space="preserve">5.5 vs 3.0</w:t>
            </w:r>
          </w:p>
        </w:tc>
      </w:tr>
      <w:tr>
        <w:tc>
          <w:tcPr/>
          <w:p>
            <w:pPr>
              <w:pStyle w:val="Compact"/>
            </w:pPr>
            <w:r>
              <w:t xml:space="preserve">Mbarara</w:t>
            </w:r>
          </w:p>
        </w:tc>
        <w:tc>
          <w:tcPr/>
          <w:p>
            <w:pPr>
              <w:pStyle w:val="Compact"/>
            </w:pPr>
            <w:r>
              <w:t xml:space="preserve">1,300</w:t>
            </w:r>
          </w:p>
        </w:tc>
        <w:tc>
          <w:tcPr/>
          <w:p>
            <w:pPr>
              <w:pStyle w:val="Compact"/>
            </w:pPr>
            <w:r>
              <w:t xml:space="preserve">16,500</w:t>
            </w:r>
          </w:p>
        </w:tc>
        <w:tc>
          <w:tcPr/>
          <w:p>
            <w:pPr>
              <w:pStyle w:val="Compact"/>
            </w:pPr>
            <w:r>
              <w:t xml:space="preserve">33,500</w:t>
            </w:r>
          </w:p>
        </w:tc>
        <w:tc>
          <w:tcPr/>
          <w:p>
            <w:pPr>
              <w:pStyle w:val="Compact"/>
            </w:pPr>
            <w:r>
              <w:t xml:space="preserve">5.4%</w:t>
            </w:r>
          </w:p>
        </w:tc>
        <w:tc>
          <w:tcPr/>
          <w:p>
            <w:pPr>
              <w:pStyle w:val="Compact"/>
            </w:pPr>
            <w:r>
              <w:t xml:space="preserve">7.3 vs 5.7</w:t>
            </w:r>
          </w:p>
        </w:tc>
      </w:tr>
      <w:tr>
        <w:tc>
          <w:tcPr/>
          <w:p>
            <w:pPr>
              <w:pStyle w:val="Compact"/>
            </w:pPr>
            <w:r>
              <w:t xml:space="preserve">Jinja</w:t>
            </w:r>
          </w:p>
        </w:tc>
        <w:tc>
          <w:tcPr/>
          <w:p>
            <w:pPr>
              <w:pStyle w:val="Compact"/>
            </w:pPr>
            <w:r>
              <w:t xml:space="preserve">4,200</w:t>
            </w:r>
          </w:p>
        </w:tc>
        <w:tc>
          <w:tcPr/>
          <w:p>
            <w:pPr>
              <w:pStyle w:val="Compact"/>
            </w:pPr>
            <w:r>
              <w:t xml:space="preserve">15,600</w:t>
            </w:r>
          </w:p>
        </w:tc>
        <w:tc>
          <w:tcPr/>
          <w:p>
            <w:pPr>
              <w:pStyle w:val="Compact"/>
            </w:pPr>
            <w:r>
              <w:t xml:space="preserve">22,300</w:t>
            </w:r>
          </w:p>
        </w:tc>
        <w:tc>
          <w:tcPr/>
          <w:p>
            <w:pPr>
              <w:pStyle w:val="Compact"/>
            </w:pPr>
            <w:r>
              <w:t xml:space="preserve">3.4%</w:t>
            </w:r>
          </w:p>
        </w:tc>
        <w:tc>
          <w:tcPr/>
          <w:p>
            <w:pPr>
              <w:pStyle w:val="Compact"/>
            </w:pPr>
            <w:r>
              <w:t xml:space="preserve">3.7 vs 1.8</w:t>
            </w:r>
          </w:p>
        </w:tc>
      </w:tr>
      <w:tr>
        <w:tc>
          <w:tcPr/>
          <w:p>
            <w:pPr>
              <w:pStyle w:val="Compact"/>
            </w:pPr>
            <w:r>
              <w:t xml:space="preserve">Arua</w:t>
            </w:r>
          </w:p>
        </w:tc>
        <w:tc>
          <w:tcPr/>
          <w:p>
            <w:pPr>
              <w:pStyle w:val="Compact"/>
            </w:pPr>
            <w:r>
              <w:t xml:space="preserve">1,500</w:t>
            </w:r>
          </w:p>
        </w:tc>
        <w:tc>
          <w:tcPr/>
          <w:p>
            <w:pPr>
              <w:pStyle w:val="Compact"/>
            </w:pPr>
            <w:r>
              <w:t xml:space="preserve">9,200</w:t>
            </w:r>
          </w:p>
        </w:tc>
        <w:tc>
          <w:tcPr/>
          <w:p>
            <w:pPr>
              <w:pStyle w:val="Compact"/>
            </w:pPr>
            <w:r>
              <w:t xml:space="preserve">12,900</w:t>
            </w:r>
          </w:p>
        </w:tc>
        <w:tc>
          <w:tcPr/>
          <w:p>
            <w:pPr>
              <w:pStyle w:val="Compact"/>
            </w:pPr>
            <w:r>
              <w:t xml:space="preserve">2.6%</w:t>
            </w:r>
          </w:p>
        </w:tc>
        <w:tc>
          <w:tcPr/>
          <w:p>
            <w:pPr>
              <w:pStyle w:val="Compact"/>
            </w:pPr>
            <w:r>
              <w:t xml:space="preserve">3.5 vs 2.1</w:t>
            </w:r>
          </w:p>
        </w:tc>
      </w:tr>
      <w:tr>
        <w:tc>
          <w:tcPr/>
          <w:p>
            <w:pPr>
              <w:pStyle w:val="Compact"/>
            </w:pPr>
            <w:r>
              <w:t xml:space="preserve">Gulu</w:t>
            </w:r>
          </w:p>
        </w:tc>
        <w:tc>
          <w:tcPr/>
          <w:p>
            <w:pPr>
              <w:pStyle w:val="Compact"/>
            </w:pPr>
            <w:r>
              <w:t xml:space="preserve">600</w:t>
            </w:r>
          </w:p>
        </w:tc>
        <w:tc>
          <w:tcPr/>
          <w:p>
            <w:pPr>
              <w:pStyle w:val="Compact"/>
            </w:pPr>
            <w:r>
              <w:t xml:space="preserve">7,900</w:t>
            </w:r>
          </w:p>
        </w:tc>
        <w:tc>
          <w:tcPr/>
          <w:p>
            <w:pPr>
              <w:pStyle w:val="Compact"/>
            </w:pPr>
            <w:r>
              <w:t xml:space="preserve">15,100</w:t>
            </w:r>
          </w:p>
        </w:tc>
        <w:tc>
          <w:tcPr/>
          <w:p>
            <w:pPr>
              <w:pStyle w:val="Compact"/>
            </w:pPr>
            <w:r>
              <w:t xml:space="preserve">3.2%</w:t>
            </w:r>
          </w:p>
        </w:tc>
        <w:tc>
          <w:tcPr/>
          <w:p>
            <w:pPr>
              <w:pStyle w:val="Compact"/>
            </w:pPr>
            <w:r>
              <w:t xml:space="preserve">6.7 vs 3.4</w:t>
            </w:r>
          </w:p>
        </w:tc>
      </w:tr>
    </w:tbl>
    <w:p>
      <w:pPr>
        <w:pStyle w:val="BodyText"/>
      </w:pPr>
      <w:r>
        <w:t xml:space="preserve">Relative to 2000, low-ground population is projected to have grown 6.3-fold in Mbarara, 4.1-fold in Gulu and 3.6-fold in Mbale by 2030, against 3.1-fold in Kampala (Fig. kd40b). In 2000–2020 low ground already grew faster than the city in all six (Fig. kd40c).</w:t>
      </w:r>
    </w:p>
    <w:p>
      <w:pPr>
        <w:pStyle w:val="BodyText"/>
      </w:pPr>
      <w:r>
        <w:rPr>
          <w:b/>
          <w:bCs/>
        </w:rPr>
        <w:t xml:space="preserve">3.3 Building form.</w:t>
      </w:r>
      <w:r>
        <w:t xml:space="preserve"> </w:t>
      </w:r>
      <w:r>
        <w:t xml:space="preserve">In Kampala, buildings on low ground are smaller than on the hills (median 64 vs 83 m²), matching the rental-room pattern described in Paper D. In the regional cities this pattern has not (yet) appeared: low-ground buildings are similar in size to, or larger than, those on higher ground (Jinja 59 vs 54 m², Mbale 58 vs 49 m², Mbarara 69 vs 65 m²). Low-ground development there is earlier-stage and mixed rather than dense rental housing.</w:t>
      </w:r>
    </w:p>
    <w:bookmarkEnd w:id="12"/>
    <w:bookmarkStart w:id="13" w:name="discussion"/>
    <w:p>
      <w:pPr>
        <w:pStyle w:val="Heading1"/>
      </w:pPr>
      <w:r>
        <w:t xml:space="preserve">4. Discussion</w:t>
      </w:r>
    </w:p>
    <w:p>
      <w:pPr>
        <w:pStyle w:val="Compact"/>
        <w:numPr>
          <w:ilvl w:val="0"/>
          <w:numId w:val="1003"/>
        </w:numPr>
      </w:pPr>
      <w:r>
        <w:rPr>
          <w:b/>
          <w:bCs/>
        </w:rPr>
        <w:t xml:space="preserve">The window is open now.</w:t>
      </w:r>
      <w:r>
        <w:t xml:space="preserve"> </w:t>
      </w:r>
      <w:r>
        <w:t xml:space="preserve">Regional valley floors are 1–3% built, compared with Kampala’s 8%. Kampala reached today’s regional levels in the 1980s, and the same trajectory is visible, only faster.</w:t>
      </w:r>
    </w:p>
    <w:p>
      <w:pPr>
        <w:pStyle w:val="Compact"/>
        <w:numPr>
          <w:ilvl w:val="0"/>
          <w:numId w:val="1003"/>
        </w:numPr>
      </w:pPr>
      <w:r>
        <w:rPr>
          <w:b/>
          <w:bCs/>
        </w:rPr>
        <w:t xml:space="preserve">Policy:</w:t>
      </w:r>
    </w:p>
    <w:p>
      <w:pPr>
        <w:pStyle w:val="Compact"/>
        <w:numPr>
          <w:ilvl w:val="1"/>
          <w:numId w:val="1004"/>
        </w:numPr>
      </w:pPr>
      <w:r>
        <w:t xml:space="preserve">Gazette valley corridors (HAND &lt; 2–3 m) as no-build drainage and wetland reserves in the physical development plans of Mbarara, Gulu, Mbale, Jinja and Arua.</w:t>
      </w:r>
    </w:p>
    <w:p>
      <w:pPr>
        <w:pStyle w:val="Compact"/>
        <w:numPr>
          <w:ilvl w:val="1"/>
          <w:numId w:val="1004"/>
        </w:numPr>
      </w:pPr>
      <w:r>
        <w:t xml:space="preserve">Use NDP IV urban infrastructure programmes to fund primary drainage</w:t>
      </w:r>
      <w:r>
        <w:t xml:space="preserve"> </w:t>
      </w:r>
      <w:r>
        <w:rPr>
          <w:i/>
          <w:iCs/>
        </w:rPr>
        <w:t xml:space="preserve">before</w:t>
      </w:r>
      <w:r>
        <w:t xml:space="preserve"> </w:t>
      </w:r>
      <w:r>
        <w:t xml:space="preserve">settlement.</w:t>
      </w:r>
    </w:p>
    <w:p>
      <w:pPr>
        <w:pStyle w:val="Compact"/>
        <w:numPr>
          <w:ilvl w:val="1"/>
          <w:numId w:val="1004"/>
        </w:numPr>
      </w:pPr>
      <w:r>
        <w:t xml:space="preserve">Adopt this screening as a national tool: the method needs only global open data and runs city by city in minutes.</w:t>
      </w:r>
    </w:p>
    <w:p>
      <w:pPr>
        <w:pStyle w:val="Compact"/>
        <w:numPr>
          <w:ilvl w:val="0"/>
          <w:numId w:val="1003"/>
        </w:numPr>
      </w:pPr>
      <w:r>
        <w:rPr>
          <w:b/>
          <w:bCs/>
        </w:rPr>
        <w:t xml:space="preserve">Limitations:</w:t>
      </w:r>
    </w:p>
    <w:p>
      <w:pPr>
        <w:pStyle w:val="Compact"/>
        <w:numPr>
          <w:ilvl w:val="1"/>
          <w:numId w:val="1005"/>
        </w:numPr>
      </w:pPr>
      <w:r>
        <w:t xml:space="preserve">GHSL population in small cities rests on coarse census inputs and modelled projections;</w:t>
      </w:r>
    </w:p>
    <w:p>
      <w:pPr>
        <w:pStyle w:val="Compact"/>
        <w:numPr>
          <w:ilvl w:val="1"/>
          <w:numId w:val="1005"/>
        </w:numPr>
      </w:pPr>
      <w:r>
        <w:t xml:space="preserve">terrain channels may include dry valleys and miss piped drains;</w:t>
      </w:r>
    </w:p>
    <w:p>
      <w:pPr>
        <w:pStyle w:val="Compact"/>
        <w:numPr>
          <w:ilvl w:val="1"/>
          <w:numId w:val="1005"/>
        </w:numPr>
      </w:pPr>
      <w:r>
        <w:t xml:space="preserve">30 m terrain smooths small towns’ drainage lines;</w:t>
      </w:r>
    </w:p>
    <w:p>
      <w:pPr>
        <w:pStyle w:val="Compact"/>
        <w:numPr>
          <w:ilvl w:val="1"/>
          <w:numId w:val="1005"/>
        </w:numPr>
      </w:pPr>
      <w:r>
        <w:t xml:space="preserve">no flood-event records were available for validation outside Kampala.</w:t>
      </w:r>
    </w:p>
    <w:p>
      <w:pPr>
        <w:pStyle w:val="Compact"/>
        <w:numPr>
          <w:ilvl w:val="0"/>
          <w:numId w:val="1000"/>
        </w:numPr>
      </w:pPr>
      <w:r>
        <w:t xml:space="preserve">Local verification with municipal engineers and the Uganda National Meteorological Authority is the next step.</w:t>
      </w:r>
    </w:p>
    <w:bookmarkEnd w:id="13"/>
    <w:bookmarkStart w:id="14" w:name="conclusion"/>
    <w:p>
      <w:pPr>
        <w:pStyle w:val="Heading1"/>
      </w:pPr>
      <w:r>
        <w:t xml:space="preserve">5. Conclusion</w:t>
      </w:r>
    </w:p>
    <w:p>
      <w:pPr>
        <w:pStyle w:val="FirstParagraph"/>
      </w:pPr>
      <w:r>
        <w:t xml:space="preserve">Kampala shows where unmanaged valley-floor development leads. Uganda’s regional cities are on the same path, starting later but moving faster: their low-ground populations are projected to grow up to twice as fast as the cities themselves this decade. Open data can identify these valleys today, while protecting them is still cheap.</w:t>
      </w:r>
    </w:p>
    <w:bookmarkEnd w:id="14"/>
    <w:bookmarkStart w:id="15" w:name="figures"/>
    <w:p>
      <w:pPr>
        <w:pStyle w:val="Heading1"/>
      </w:pPr>
      <w:r>
        <w:t xml:space="preserve">Figures</w:t>
      </w:r>
    </w:p>
    <w:p>
      <w:pPr>
        <w:pStyle w:val="Compact"/>
        <w:numPr>
          <w:ilvl w:val="0"/>
          <w:numId w:val="1006"/>
        </w:numPr>
      </w:pPr>
      <w:r>
        <w:t xml:space="preserve">kd40: a, valley floor built over 1975–2030; b, people on low ground relative to 2000; c, 2020–30 growth, low ground vs whole area</w:t>
      </w:r>
    </w:p>
    <w:bookmarkEnd w:id="15"/>
    <w:bookmarkStart w:id="16" w:name="references-to-complete"/>
    <w:p>
      <w:pPr>
        <w:pStyle w:val="Heading1"/>
      </w:pPr>
      <w:r>
        <w:t xml:space="preserve">References (to complete)</w:t>
      </w:r>
    </w:p>
    <w:p>
      <w:pPr>
        <w:pStyle w:val="Compact"/>
        <w:numPr>
          <w:ilvl w:val="0"/>
          <w:numId w:val="1007"/>
        </w:numPr>
      </w:pPr>
      <w:r>
        <w:t xml:space="preserve">Government of Uganda (2024). Fourth National Development Plan (NDP IV) 2025/26–2029/30; National Physical Development Plan.</w:t>
      </w:r>
    </w:p>
    <w:p>
      <w:pPr>
        <w:pStyle w:val="Compact"/>
        <w:numPr>
          <w:ilvl w:val="0"/>
          <w:numId w:val="1007"/>
        </w:numPr>
      </w:pPr>
      <w:r>
        <w:t xml:space="preserve">JRC GHSL R2023A; Copernicus GLO-30; Microsoft Building Footprints; Nobre et al. (2011) HAND.</w:t>
      </w:r>
    </w:p>
    <w:p>
      <w:pPr>
        <w:pStyle w:val="Compact"/>
        <w:numPr>
          <w:ilvl w:val="0"/>
          <w:numId w:val="1007"/>
        </w:numPr>
      </w:pPr>
      <w:r>
        <w:t xml:space="preserve">Papers A, D, 1 of this programme.</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Kampalas: open-data screening of valley-floor encroachment and flood exposure in Uganda’s growing regional cities</dc:title>
  <dc:creator>Gava Charles</dc:creator>
  <cp:keywords/>
  <dcterms:created xsi:type="dcterms:W3CDTF">2026-10-13T17:35:41Z</dcterms:created>
  <dcterms:modified xsi:type="dcterms:W3CDTF">2026-10-13T17:35:41Z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