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dated, geocoded catalogue of reported floods in Kampala, 2007-2026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Drafted: 22 events (A 11, B 7, C 4), 51 place records;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 separate paper (no fieldwork possible).</w:t>
            </w:r>
            <w:r>
              <w:t xml:space="preserve"> </w:t>
            </w:r>
            <w:r>
              <w:t xml:space="preserve">Reported in Paper A as a tested-but-unsupported pathway: dumping does not predict hotspots once density is controlled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exposure now growing fastest on the fringe; smaller building grain on low ground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Drafted with land-tenure angle: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kampala_drainage_paperD.md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(needs KCCA desilting dates)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 (2017-2026) + verified reports (2007-2026); 2021-24 reporting gap</w:t>
            </w:r>
          </w:p>
        </w:tc>
        <w:tc>
          <w:tcPr/>
          <w:p>
            <w:pPr>
              <w:pStyle w:val="Compact"/>
            </w:pPr>
            <w:r>
              <w:t xml:space="preserve">Drafted,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live (gavacharles.github.io/kampala-drain-watch)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as a paper; the tool stays live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1" w:name="follow-on-papers-october-2026"/>
    <w:p>
      <w:pPr>
        <w:pStyle w:val="Heading1"/>
      </w:pPr>
      <w:r>
        <w:t xml:space="preserve">Follow-on papers (October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Key result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lost sponge: valley-floor flood storage 1975-2030</w:t>
            </w:r>
          </w:p>
        </w:tc>
        <w:tc>
          <w:tcPr/>
          <w:p>
            <w:pPr>
              <w:pStyle w:val="Compact"/>
            </w:pPr>
            <w:r>
              <w:t xml:space="preserve">8.5 Mm³ storage paved over; living wetland sponge -73% to -91% in Kinawataka and Nalukolongo; most systems went from holding to failing a 10-yr 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kampala_sponge_paper1.md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Cut off by water: hospital and school access</w:t>
            </w:r>
          </w:p>
        </w:tc>
        <w:tc>
          <w:tcPr/>
          <w:p>
            <w:pPr>
              <w:pStyle w:val="Compact"/>
            </w:pPr>
            <w:r>
              <w:t xml:space="preserve">1 m flood: 36,000 dry-home residents lose all routes to hospital, 131,000 see trips double; Busega A5 and Lubigi roads most 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kampala_access_paper3.md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cost of a blocked drain</w:t>
            </w:r>
          </w:p>
        </w:tc>
        <w:tc>
          <w:tcPr/>
          <w:p>
            <w:pPr>
              <w:pStyle w:val="Compact"/>
            </w:pPr>
            <w:r>
              <w:t xml:space="preserve">EAD US$3.0m clean vs US$20.3m silted; maintenance worth ~US$17m/yr; Nakivubo and lower Lubigi most valuable to keep clear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kampala_damage_paper4.md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Double exposure: heat and flood</w:t>
            </w:r>
          </w:p>
        </w:tc>
        <w:tc>
          <w:tcPr/>
          <w:p>
            <w:pPr>
              <w:pStyle w:val="Compact"/>
            </w:pPr>
            <w:r>
              <w:t xml:space="preserve">53% of low-ground residents in the warmest 20% of nights vs 29% on hills (OR 2.7); low ground +0.33 °C at night after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kampala_heat_flood_paper5.md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Design-basis drift</w:t>
            </w:r>
          </w:p>
        </w:tc>
        <w:tc>
          <w:tcPr/>
          <w:p>
            <w:pPr>
              <w:pStyle w:val="Compact"/>
            </w:pPr>
            <w:r>
              <w:t xml:space="preserve">Channels sized for 1990 now get +17% (median) 10-yr flow; 91% of length overloaded &gt;20% under 2041-70 SSP5-8.5; drift is a fringe, not a hotspot, phenomenon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kampala_capacity_paper6.md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next Kampalas: regional cities</w:t>
            </w:r>
          </w:p>
        </w:tc>
        <w:tc>
          <w:tcPr/>
          <w:p>
            <w:pPr>
              <w:pStyle w:val="Compact"/>
            </w:pPr>
            <w:r>
              <w:t xml:space="preserve">Low ground filling 1.3-2x faster than the city in Mbarara, Gulu, Mbale, Jinja, Arua (2020-30)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uganda_cities_paper7.md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lost free treatment plant: wetland loss and Inner Murchison Bay, 1986-2026 (satellite only, no NWSC data)</w:t>
            </w:r>
          </w:p>
        </w:tc>
        <w:tc>
          <w:tcPr/>
          <w:p>
            <w:pPr>
              <w:pStyle w:val="Compact"/>
            </w:pPr>
            <w:r>
              <w:t xml:space="preserve">Drafted: bay-draining wetland -51% (1,200 to 587 ha); outlet/lake turbidity ratio 1.14 to 1.51; +5.3% per 100 ha lost (p = 0.019);</w:t>
            </w:r>
            <w:r>
              <w:t xml:space="preserve"> </w:t>
            </w:r>
            <w:r>
              <w:rPr>
                <w:rStyle w:val="VerbatimChar"/>
              </w:rPr>
              <w:t xml:space="preserve">kampala_bay_paper2.md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Great Lakes Research</w:t>
            </w:r>
          </w:p>
        </w:tc>
      </w:tr>
    </w:tbl>
    <w:bookmarkEnd w:id="11"/>
    <w:bookmarkStart w:id="16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2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3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4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6"/>
    <w:bookmarkStart w:id="17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7"/>
    <w:bookmarkStart w:id="18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8"/>
    <w:bookmarkStart w:id="19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9"/>
    <w:bookmarkStart w:id="20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20"/>
    <w:bookmarkStart w:id="21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1"/>
    <w:bookmarkStart w:id="22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2"/>
    <w:bookmarkStart w:id="23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3"/>
    <w:bookmarkStart w:id="24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4"/>
    <w:bookmarkStart w:id="25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2026-10-14T08:11:23Z</dcterms:created>
  <dcterms:modified xsi:type="dcterms:W3CDTF">2026-10-14T08:11:23Z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