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Where the roadside decides</w:t>
      </w:r>
    </w:p>
    <w:p>
      <w:pPr>
        <w:jc w:val="center"/>
      </w:pPr>
      <w:r>
        <w:rPr>
          <w:i/>
          <w:color w:val="5D6764"/>
          <w:sz w:val="25"/>
        </w:rPr>
        <w:t>Screening bus rapid transit and light rail for Kampala from building footprints, satellite imagery and open data</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Kampala moves on minibus taxis and motorcycle taxis on roads that double as the city's high streets. Rapid transit has been proposed for years, but appraisal has been held back by two gaps: there is no reliable record of peak traffic speeds, and no city-wide account of how much room the roadside leaves for a busway or a tramway. This paper screens every main road in Greater Kampala for bus rapid transit (BRT) and light rail using only open data:</w:t>
      </w:r>
    </w:p>
    <w:p>
      <w:pPr>
        <w:pStyle w:val="ListBullet"/>
        <w:spacing w:after="40"/>
      </w:pPr>
      <w:r>
        <w:rPr/>
        <w:t>the road network (OpenStreetMap);</w:t>
      </w:r>
    </w:p>
    <w:p>
      <w:pPr>
        <w:pStyle w:val="ListBullet"/>
        <w:spacing w:after="40"/>
      </w:pPr>
      <w:r>
        <w:rPr/>
        <w:t>2.4 million building footprints (Google Open Buildings);</w:t>
      </w:r>
    </w:p>
    <w:p>
      <w:pPr>
        <w:pStyle w:val="ListBullet"/>
        <w:spacing w:after="40"/>
      </w:pPr>
      <w:r>
        <w:rPr/>
        <w:t>satellite imagery;</w:t>
      </w:r>
    </w:p>
    <w:p>
      <w:pPr>
        <w:pStyle w:val="ListBullet"/>
        <w:spacing w:after="40"/>
      </w:pPr>
      <w:r>
        <w:rPr/>
        <w:t>built-up surface (GHSL) and population (WorldPop).</w:t>
      </w:r>
    </w:p>
    <w:p>
      <w:pPr>
        <w:jc w:val="both"/>
      </w:pPr>
      <w:r>
        <w:rPr/>
        <w:t>Land use is classified in 250 m cells by rules on building form, refined with a random forest trained on OpenStreetMap labels and imagery features. The forest reaches 92% accuracy under spatial cross-validation. The clear width between building lines is measured every 100 m along 15 candidate corridors, and the buildings a 24 m corridor would displace are counted by land use.</w:t>
      </w:r>
    </w:p>
    <w:p>
      <w:pPr>
        <w:jc w:val="both"/>
      </w:pPr>
      <w:r>
        <w:rPr/>
        <w:t>A gravity demand model and a multimodal network model then test each corridor alone and two networks grown corridor by corridor: one for time saved and one for access gained by residents of dense, small-plot settlement. Because peak speeds are unknown, road congestion is swept rather than assumed, and the appraisal reports the congestion at which each option pays.</w:t>
      </w:r>
    </w:p>
    <w:p>
      <w:pPr>
        <w:jc w:val="both"/>
      </w:pPr>
      <w:r>
        <w:rPr/>
        <w:t>Single radial BRT lines save 2–3% of all modelled trip time when roads run at half the assumed peak speed. A six-corridor, 102 km BRT network saves 9.7%, and 16% if roads run at a third of the assumed speed. Its benefit–cost ratio is 1.33 at central congestion (5–95% range 0.65–2.57; above one in 74% of draws). Light rail on the same alignments pays only under severe congestion.</w:t>
      </w:r>
    </w:p>
    <w:p>
      <w:pPr>
        <w:jc w:val="both"/>
      </w:pPr>
      <w:r>
        <w:rPr/>
        <w:t>Most corridors have room: 10–14 buildings per km lie inside a 24 m corridor on the main radials, mostly in planned areas. Bwaise and Kireka are the exceptions, with 38–95 per km, largely in dense small-plot settlement and wetland. Residents of dense small-plot settlement gain the most access (+19%). The fringe beyond 20 km gains little, and the spread of access does not narrow.</w:t>
      </w:r>
    </w:p>
    <w:p>
      <w:pPr>
        <w:jc w:val="both"/>
      </w:pPr>
      <w:r>
        <w:rPr/>
        <w:t>The roadside, measured from space, decides where rapid transit fits and who pays for the space it needs.</w:t>
      </w:r>
    </w:p>
    <w:p>
      <w:r>
        <w:rPr>
          <w:b/>
        </w:rPr>
        <w:t>Keywords:</w:t>
      </w:r>
      <w:r>
        <w:rPr/>
        <w:t xml:space="preserve"> bus rapid transit; light rail; Kampala; building footprints; land use; machine learning; accessibility; transport equity; open data</w:t>
      </w:r>
    </w:p>
    <w:p>
      <w:pPr>
        <w:pStyle w:val="Heading1"/>
      </w:pPr>
      <w:r>
        <w:t>1. Introduction</w:t>
      </w:r>
    </w:p>
    <w:p>
      <w:pPr>
        <w:jc w:val="both"/>
      </w:pPr>
      <w:r>
        <w:rPr/>
        <w:t>Greater Kampala has about 6.6 million residents within the study area. They travel overwhelmingly by minibus taxi ("matatu"), motorcycle taxi ("boda boda") and on foot. The arterial roads radiating from the centre carry this traffic along with freight to Uganda's borders. A companion paper shows that these roads have become high streets for most of their length, lined with trading centres, markets, taxi stages and side roads (Gava, 2026). Rapid transit, whether a busway or a tramway, is the standard response of growing cities to congested arterials. Kampala has seen BRT and light-rail proposals over the past decade, but no network has been built.</w:t>
      </w:r>
    </w:p>
    <w:p>
      <w:pPr>
        <w:jc w:val="both"/>
      </w:pPr>
      <w:r>
        <w:rPr/>
        <w:t>Two gaps make it hard to judge where rapid transit would make sense.</w:t>
      </w:r>
    </w:p>
    <w:p>
      <w:pPr>
        <w:pStyle w:val="ListBullet"/>
        <w:spacing w:after="40"/>
      </w:pPr>
      <w:r>
        <w:rPr>
          <w:b/>
        </w:rPr>
        <w:t>Speed.</w:t>
      </w:r>
      <w:r>
        <w:rPr/>
        <w:t xml:space="preserve"> Kampala has no continuous record of peak road speeds. The benefit of a dedicated lane depends almost entirely on how slow the general traffic beside it is.</w:t>
      </w:r>
    </w:p>
    <w:p>
      <w:pPr>
        <w:pStyle w:val="ListBullet"/>
        <w:spacing w:after="40"/>
      </w:pPr>
      <w:r>
        <w:rPr>
          <w:b/>
        </w:rPr>
        <w:t>Space.</w:t>
      </w:r>
      <w:r>
        <w:rPr/>
        <w:t xml:space="preserve"> The question is whether there is room. A median busway with stations needs roughly 24 m between building lines at its tightest. The width of Kampala's roads is recorded in no public dataset, and where it falls short, the cost of the missing space falls on whoever lives or trades at the roadside.</w:t>
      </w:r>
    </w:p>
    <w:p>
      <w:pPr>
        <w:jc w:val="both"/>
      </w:pPr>
      <w:r>
        <w:rPr/>
        <w:t>This paper addresses both gaps with open data. The space question is answered directly, by measuring the clear width between building footprints every 100 m along every candidate road, and by classifying who lives there from building form and satellite imagery. The speed question is answered conditionally: congestion is treated as the unknown, and the paper reports the level at which each corridor, each network and each technology pays for itself. A short speed survey, when one becomes possible, can then settle the question.</w:t>
      </w:r>
    </w:p>
    <w:p>
      <w:pPr>
        <w:jc w:val="both"/>
      </w:pPr>
      <w:r>
        <w:rPr/>
        <w:t>The paper asks four questions:</w:t>
      </w:r>
    </w:p>
    <w:p>
      <w:pPr>
        <w:pStyle w:val="ListBullet"/>
        <w:spacing w:after="40"/>
      </w:pPr>
      <w:r>
        <w:rPr/>
        <w:t>Which of Kampala's roads carry enough demand, and have enough room, for BRT or light rail?</w:t>
      </w:r>
    </w:p>
    <w:p>
      <w:pPr>
        <w:pStyle w:val="ListBullet"/>
        <w:spacing w:after="40"/>
      </w:pPr>
      <w:r>
        <w:rPr/>
        <w:t>What would the transit space cost in buildings, and in which kinds of settlement?</w:t>
      </w:r>
    </w:p>
    <w:p>
      <w:pPr>
        <w:pStyle w:val="ListBullet"/>
        <w:spacing w:after="40"/>
      </w:pPr>
      <w:r>
        <w:rPr/>
        <w:t>Is a network worth more than its lines, and does a network designed for equity differ from one designed for time saved?</w:t>
      </w:r>
    </w:p>
    <w:p>
      <w:pPr>
        <w:pStyle w:val="ListBullet"/>
        <w:spacing w:after="40"/>
      </w:pPr>
      <w:r>
        <w:rPr/>
        <w:t>Who gains access, and at what congestion would each option pay?</w:t>
      </w:r>
    </w:p>
    <w:p>
      <w:pPr>
        <w:pStyle w:val="Heading1"/>
      </w:pPr>
      <w:r>
        <w:t>2. Literature</w:t>
      </w:r>
    </w:p>
    <w:p>
      <w:pPr>
        <w:pStyle w:val="Heading2"/>
      </w:pPr>
      <w:r>
        <w:t>2.1 BRT and light rail in growing cities</w:t>
      </w:r>
    </w:p>
    <w:p>
      <w:pPr>
        <w:jc w:val="both"/>
      </w:pPr>
      <w:r>
        <w:rPr/>
        <w:t>BRT has spread from Curitiba and Bogotá to more than 170 cities, valued for delivering much of the capacity of light rail at a fraction of the capital cost (Hidalgo and Gutiérrez, 2013; Deng and Nelson, 2011). Reviews find BRT capital costs of a few to about 20 million US dollars per km, against several times that for light rail (ITDP, 2017; Flyvbjerg et al., 2008). Cervero (2013) stresses that BRT's benefits depend on segregated running ways, off-board fare collection and network integration, rather than on the vehicles. In African cities, Lagos's BRT-Lite, Johannesburg's Rea Vaya, Cape Town's MyCiTi and Dar es Salaam's DART show both the promise and the difficulty of introducing trunk services alongside an incumbent paratransit industry (Behrens et al., 2016; Rizzo, 2017).</w:t>
      </w:r>
    </w:p>
    <w:p>
      <w:pPr>
        <w:pStyle w:val="Heading2"/>
      </w:pPr>
      <w:r>
        <w:t>2.2 Paratransit, informality and access</w:t>
      </w:r>
    </w:p>
    <w:p>
      <w:pPr>
        <w:jc w:val="both"/>
      </w:pPr>
      <w:r>
        <w:rPr/>
        <w:t>Most trips in African cities are made by minibus and motorcycle taxis operating without public subsidy (Behrens et al., 2016; Kumar et al., 2021). Accessibility, the opportunities reachable in a given time, has become the preferred measure of what transport offers residents (Geurs and van Wee, 2004; Venter et al., 2019). Work on transport justice argues that improvements should be judged by how they change the distribution of access, not its average (Lucas, 2012; Martens, 2017; Pereira et al., 2017). Informal settlement is often where access is poorest and where transport projects displace people. Yet the location of informal settlement is rarely mapped city-wide.</w:t>
      </w:r>
    </w:p>
    <w:p>
      <w:pPr>
        <w:pStyle w:val="Heading2"/>
      </w:pPr>
      <w:r>
        <w:t>2.3 Mapping the city from space</w:t>
      </w:r>
    </w:p>
    <w:p>
      <w:pPr>
        <w:jc w:val="both"/>
      </w:pPr>
      <w:r>
        <w:rPr/>
        <w:t>Building footprints extracted from high-resolution imagery now cover most of Africa (Sirko et al., 2021). Morphological measures of footprints, such as density, size and spacing, distinguish planned from unplanned settlement in many cities. Machine learning on imagery features maps land use where cadastres are incomplete (Kuffer et al., 2016; Wurm et al., 2019). OpenStreetMap's road network is close to complete (Barrington-Leigh and Millard-Ball, 2017). Its land-use polygons cover only parts of most African cities, which makes them a natural training set for predicting the rest. To our knowledge, no study has combined footprint-based clearance, ML land use and network accessibility to screen rapid transit for a whole African city.</w:t>
      </w:r>
    </w:p>
    <w:p>
      <w:pPr>
        <w:pStyle w:val="Heading1"/>
      </w:pPr>
      <w:r>
        <w:t>3. Study area and data</w:t>
      </w:r>
    </w:p>
    <w:p>
      <w:pPr>
        <w:jc w:val="both"/>
      </w:pPr>
      <w:r>
        <w:rPr/>
        <w:t>The study area is a box of about 61 × 59 km over Greater Kampala (32.35–32.90°E, 0.02–0.55°N). It covers Kampala and parts of Wakiso, Mukono and Entebbe. Table 1 lists the data. All of it is open and global, so the method transfers to other cities.</w:t>
      </w:r>
    </w:p>
    <w:p>
      <w:pPr>
        <w:pStyle w:val="Caption"/>
        <w:keepNext/>
        <w:spacing w:after="60"/>
      </w:pPr>
      <w:r>
        <w:rPr>
          <w:sz w:val="19"/>
        </w:rPr>
        <w:t>Table 1. Data.</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Data</w:t>
            </w:r>
          </w:p>
        </w:tc>
        <w:tc>
          <w:tcPr>
            <w:tcW w:type="dxa" w:w="3024"/>
            <w:shd w:val="clear" w:color="auto" w:fill="EFEDE8"/>
            <w:tcBorders>
              <w:bottom w:val="single" w:sz="6" w:color="1D2321"/>
            </w:tcBorders>
          </w:tcPr>
          <w:p>
            <w:pPr>
              <w:spacing w:after="20" w:line="240" w:lineRule="auto"/>
            </w:pPr>
            <w:r>
              <w:rPr>
                <w:b/>
                <w:sz w:val="18"/>
              </w:rPr>
              <w:t>Use</w:t>
            </w:r>
          </w:p>
        </w:tc>
        <w:tc>
          <w:tcPr>
            <w:tcW w:type="dxa" w:w="3024"/>
            <w:shd w:val="clear" w:color="auto" w:fill="EFEDE8"/>
            <w:tcBorders>
              <w:bottom w:val="single" w:sz="6" w:color="1D2321"/>
            </w:tcBorders>
          </w:tcPr>
          <w:p>
            <w:pPr>
              <w:spacing w:after="20" w:line="240" w:lineRule="auto"/>
            </w:pPr>
            <w:r>
              <w:rPr>
                <w:b/>
                <w:sz w:val="18"/>
              </w:rPr>
              <w:t>Source</w:t>
            </w:r>
          </w:p>
        </w:tc>
      </w:tr>
      <w:tr>
        <w:tc>
          <w:tcPr>
            <w:tcW w:type="dxa" w:w="3024"/>
          </w:tcPr>
          <w:p>
            <w:pPr>
              <w:spacing w:after="20" w:line="240" w:lineRule="auto"/>
            </w:pPr>
            <w:r>
              <w:rPr>
                <w:sz w:val="18"/>
              </w:rPr>
              <w:t>Road network: motorway to tertiary, 3,580 segments</w:t>
            </w:r>
          </w:p>
        </w:tc>
        <w:tc>
          <w:tcPr>
            <w:tcW w:type="dxa" w:w="3024"/>
          </w:tcPr>
          <w:p>
            <w:pPr>
              <w:spacing w:after="20" w:line="240" w:lineRule="auto"/>
            </w:pPr>
            <w:r>
              <w:rPr>
                <w:sz w:val="18"/>
              </w:rPr>
              <w:t>Network, candidate corridors</w:t>
            </w:r>
          </w:p>
        </w:tc>
        <w:tc>
          <w:tcPr>
            <w:tcW w:type="dxa" w:w="3024"/>
          </w:tcPr>
          <w:p>
            <w:pPr>
              <w:spacing w:after="20" w:line="240" w:lineRule="auto"/>
            </w:pPr>
            <w:r>
              <w:rPr>
                <w:sz w:val="18"/>
              </w:rPr>
              <w:t>OpenStreetMap (2026)</w:t>
            </w:r>
          </w:p>
        </w:tc>
      </w:tr>
      <w:tr>
        <w:tc>
          <w:tcPr>
            <w:tcW w:type="dxa" w:w="3024"/>
          </w:tcPr>
          <w:p>
            <w:pPr>
              <w:spacing w:after="20" w:line="240" w:lineRule="auto"/>
            </w:pPr>
            <w:r>
              <w:rPr>
                <w:sz w:val="18"/>
              </w:rPr>
              <w:t>2.39 million building footprints</w:t>
            </w:r>
          </w:p>
        </w:tc>
        <w:tc>
          <w:tcPr>
            <w:tcW w:type="dxa" w:w="3024"/>
          </w:tcPr>
          <w:p>
            <w:pPr>
              <w:spacing w:after="20" w:line="240" w:lineRule="auto"/>
            </w:pPr>
            <w:r>
              <w:rPr>
                <w:sz w:val="18"/>
              </w:rPr>
              <w:t>Land use, clearance, displacement</w:t>
            </w:r>
          </w:p>
        </w:tc>
        <w:tc>
          <w:tcPr>
            <w:tcW w:type="dxa" w:w="3024"/>
          </w:tcPr>
          <w:p>
            <w:pPr>
              <w:spacing w:after="20" w:line="240" w:lineRule="auto"/>
            </w:pPr>
            <w:r>
              <w:rPr>
                <w:sz w:val="18"/>
              </w:rPr>
              <w:t>Google Open Buildings v3 (imagery 2020–22)</w:t>
            </w:r>
          </w:p>
        </w:tc>
      </w:tr>
      <w:tr>
        <w:tc>
          <w:tcPr>
            <w:tcW w:type="dxa" w:w="3024"/>
          </w:tcPr>
          <w:p>
            <w:pPr>
              <w:spacing w:after="20" w:line="240" w:lineRule="auto"/>
            </w:pPr>
            <w:r>
              <w:rPr>
                <w:sz w:val="18"/>
              </w:rPr>
              <w:t>Built-up surface, 100 m</w:t>
            </w:r>
          </w:p>
        </w:tc>
        <w:tc>
          <w:tcPr>
            <w:tcW w:type="dxa" w:w="3024"/>
          </w:tcPr>
          <w:p>
            <w:pPr>
              <w:spacing w:after="20" w:line="240" w:lineRule="auto"/>
            </w:pPr>
            <w:r>
              <w:rPr>
                <w:sz w:val="18"/>
              </w:rPr>
              <w:t>Roadside friction, destinations</w:t>
            </w:r>
          </w:p>
        </w:tc>
        <w:tc>
          <w:tcPr>
            <w:tcW w:type="dxa" w:w="3024"/>
          </w:tcPr>
          <w:p>
            <w:pPr>
              <w:spacing w:after="20" w:line="240" w:lineRule="auto"/>
            </w:pPr>
            <w:r>
              <w:rPr>
                <w:sz w:val="18"/>
              </w:rPr>
              <w:t>GHSL GHS-BUILT-S R2023A (2020)</w:t>
            </w:r>
          </w:p>
        </w:tc>
      </w:tr>
      <w:tr>
        <w:tc>
          <w:tcPr>
            <w:tcW w:type="dxa" w:w="3024"/>
          </w:tcPr>
          <w:p>
            <w:pPr>
              <w:spacing w:after="20" w:line="240" w:lineRule="auto"/>
            </w:pPr>
            <w:r>
              <w:rPr>
                <w:sz w:val="18"/>
              </w:rPr>
              <w:t>Population, 100 m</w:t>
            </w:r>
          </w:p>
        </w:tc>
        <w:tc>
          <w:tcPr>
            <w:tcW w:type="dxa" w:w="3024"/>
          </w:tcPr>
          <w:p>
            <w:pPr>
              <w:spacing w:after="20" w:line="240" w:lineRule="auto"/>
            </w:pPr>
            <w:r>
              <w:rPr>
                <w:sz w:val="18"/>
              </w:rPr>
              <w:t>Origins, catchments, equity</w:t>
            </w:r>
          </w:p>
        </w:tc>
        <w:tc>
          <w:tcPr>
            <w:tcW w:type="dxa" w:w="3024"/>
          </w:tcPr>
          <w:p>
            <w:pPr>
              <w:spacing w:after="20" w:line="240" w:lineRule="auto"/>
            </w:pPr>
            <w:r>
              <w:rPr>
                <w:sz w:val="18"/>
              </w:rPr>
              <w:t>WorldPop 2025 constrained</w:t>
            </w:r>
          </w:p>
        </w:tc>
      </w:tr>
      <w:tr>
        <w:tc>
          <w:tcPr>
            <w:tcW w:type="dxa" w:w="3024"/>
          </w:tcPr>
          <w:p>
            <w:pPr>
              <w:spacing w:after="20" w:line="240" w:lineRule="auto"/>
            </w:pPr>
            <w:r>
              <w:rPr>
                <w:sz w:val="18"/>
              </w:rPr>
              <w:t>Land-use polygons</w:t>
            </w:r>
          </w:p>
        </w:tc>
        <w:tc>
          <w:tcPr>
            <w:tcW w:type="dxa" w:w="3024"/>
          </w:tcPr>
          <w:p>
            <w:pPr>
              <w:spacing w:after="20" w:line="240" w:lineRule="auto"/>
            </w:pPr>
            <w:r>
              <w:rPr>
                <w:sz w:val="18"/>
              </w:rPr>
              <w:t>Training labels</w:t>
            </w:r>
          </w:p>
        </w:tc>
        <w:tc>
          <w:tcPr>
            <w:tcW w:type="dxa" w:w="3024"/>
          </w:tcPr>
          <w:p>
            <w:pPr>
              <w:spacing w:after="20" w:line="240" w:lineRule="auto"/>
            </w:pPr>
            <w:r>
              <w:rPr>
                <w:sz w:val="18"/>
              </w:rPr>
              <w:t>OpenStreetMap</w:t>
            </w:r>
          </w:p>
        </w:tc>
      </w:tr>
      <w:tr>
        <w:tc>
          <w:tcPr>
            <w:tcW w:type="dxa" w:w="3024"/>
          </w:tcPr>
          <w:p>
            <w:pPr>
              <w:spacing w:after="20" w:line="240" w:lineRule="auto"/>
            </w:pPr>
            <w:r>
              <w:rPr>
                <w:sz w:val="18"/>
              </w:rPr>
              <w:t>Satellite imagery (zoom 15–18)</w:t>
            </w:r>
          </w:p>
        </w:tc>
        <w:tc>
          <w:tcPr>
            <w:tcW w:type="dxa" w:w="3024"/>
          </w:tcPr>
          <w:p>
            <w:pPr>
              <w:spacing w:after="20" w:line="240" w:lineRule="auto"/>
            </w:pPr>
            <w:r>
              <w:rPr>
                <w:sz w:val="18"/>
              </w:rPr>
              <w:t>ML features, cartography</w:t>
            </w:r>
          </w:p>
        </w:tc>
        <w:tc>
          <w:tcPr>
            <w:tcW w:type="dxa" w:w="3024"/>
          </w:tcPr>
          <w:p>
            <w:pPr>
              <w:spacing w:after="20" w:line="240" w:lineRule="auto"/>
            </w:pPr>
            <w:r>
              <w:rPr>
                <w:sz w:val="18"/>
              </w:rPr>
              <w:t>Esri World Imagery (Maxar)</w:t>
            </w:r>
          </w:p>
        </w:tc>
      </w:tr>
      <w:tr>
        <w:tc>
          <w:tcPr>
            <w:tcW w:type="dxa" w:w="3024"/>
          </w:tcPr>
          <w:p>
            <w:pPr>
              <w:spacing w:after="20" w:line="240" w:lineRule="auto"/>
            </w:pPr>
            <w:r>
              <w:rPr>
                <w:sz w:val="18"/>
              </w:rPr>
              <w:t>Railways</w:t>
            </w:r>
          </w:p>
        </w:tc>
        <w:tc>
          <w:tcPr>
            <w:tcW w:type="dxa" w:w="3024"/>
          </w:tcPr>
          <w:p>
            <w:pPr>
              <w:spacing w:after="20" w:line="240" w:lineRule="auto"/>
            </w:pPr>
            <w:r>
              <w:rPr>
                <w:sz w:val="18"/>
              </w:rPr>
              <w:t>Rail reserve</w:t>
            </w:r>
          </w:p>
        </w:tc>
        <w:tc>
          <w:tcPr>
            <w:tcW w:type="dxa" w:w="3024"/>
          </w:tcPr>
          <w:p>
            <w:pPr>
              <w:spacing w:after="20" w:line="240" w:lineRule="auto"/>
            </w:pPr>
            <w:r>
              <w:rPr>
                <w:sz w:val="18"/>
              </w:rPr>
              <w:t>OpenStreetMap</w:t>
            </w:r>
          </w:p>
        </w:tc>
      </w:tr>
    </w:tbl>
    <w:p>
      <w:pPr>
        <w:spacing w:after="80"/>
      </w:pPr>
    </w:p>
    <w:p>
      <w:pPr>
        <w:pStyle w:val="Heading1"/>
      </w:pPr>
      <w:r>
        <w:t>4. Methods</w:t>
      </w:r>
    </w:p>
    <w:p>
      <w:pPr>
        <w:pStyle w:val="Heading2"/>
      </w:pPr>
      <w:r>
        <w:t>4.1 Network, speeds and demand</w:t>
      </w:r>
    </w:p>
    <w:p>
      <w:pPr>
        <w:jc w:val="both"/>
      </w:pPr>
      <w:r>
        <w:rPr>
          <w:b/>
        </w:rPr>
        <w:t>Network.</w:t>
      </w:r>
      <w:r>
        <w:rPr/>
        <w:t xml:space="preserve"> The road network is split at every junction. Each segment gets an assumed peak speed by class (trunk 32, primary 26, secondary 22, tertiary 18 km/h), reduced by up to 35% where the land within about 150 m is built up. This follows the roadside-friction form of the companion paper. The tolled Entebbe Expressway is excluded from the public-transport network. The Northern Bypass, a dual carriageway with at-grade junctions, runs at 40 km/h.</w:t>
      </w:r>
    </w:p>
    <w:p>
      <w:pPr>
        <w:jc w:val="both"/>
      </w:pPr>
      <w:r>
        <w:rPr>
          <w:b/>
        </w:rPr>
        <w:t>Demand.</w:t>
      </w:r>
      <w:r>
        <w:rPr/>
        <w:t xml:space="preserve"> Demand is an origin-constrained gravity model on about 1.1 km zones (1,886 origins):</w:t>
      </w:r>
    </w:p>
    <w:p>
      <w:pPr>
        <w:pStyle w:val="ListBullet"/>
        <w:spacing w:after="40"/>
      </w:pPr>
      <w:r>
        <w:rPr/>
        <w:t>one public-transport trip per resident, distributed to built-up floor area with an exponential decay in travel time (τ = 25 minutes);</w:t>
      </w:r>
    </w:p>
    <w:p>
      <w:pPr>
        <w:pStyle w:val="ListBullet"/>
        <w:spacing w:after="40"/>
      </w:pPr>
      <w:r>
        <w:rPr/>
        <w:t>trips under six minutes treated as walked;</w:t>
      </w:r>
    </w:p>
    <w:p>
      <w:pPr>
        <w:pStyle w:val="ListBullet"/>
        <w:spacing w:after="40"/>
      </w:pPr>
      <w:r>
        <w:rPr/>
        <w:t>every trip routed on its fastest path, giving a relative person-trip load on each road (1).</w:t>
      </w:r>
    </w:p>
    <w:p>
      <w:pPr>
        <w:jc w:val="both"/>
      </w:pPr>
      <w:r>
        <w:rPr>
          <w:b/>
        </w:rPr>
        <w:t>Candidates.</w:t>
      </w:r>
      <w:r>
        <w:rPr/>
        <w:t xml:space="preserve"> Candidate corridors are the named roads within 20 km of the centre, screened on load, length, walk catchment and existing width (2). Fifteen corridors pass.</w:t>
      </w:r>
    </w:p>
    <w:p>
      <w:pPr>
        <w:keepNext/>
        <w:spacing w:after="40"/>
        <w:jc w:val="center"/>
      </w:pPr>
      <w:r>
        <w:drawing>
          <wp:inline xmlns:a="http://schemas.openxmlformats.org/drawingml/2006/main" xmlns:pic="http://schemas.openxmlformats.org/drawingml/2006/picture">
            <wp:extent cx="5120640" cy="4466745"/>
            <wp:docPr id="1" name="Picture 1"/>
            <wp:cNvGraphicFramePr>
              <a:graphicFrameLocks noChangeAspect="1"/>
            </wp:cNvGraphicFramePr>
            <a:graphic>
              <a:graphicData uri="http://schemas.openxmlformats.org/drawingml/2006/picture">
                <pic:pic>
                  <pic:nvPicPr>
                    <pic:cNvPr id="0" name="k01_load_map.png"/>
                    <pic:cNvPicPr/>
                  </pic:nvPicPr>
                  <pic:blipFill>
                    <a:blip r:embed="rId10"/>
                    <a:stretch>
                      <a:fillRect/>
                    </a:stretch>
                  </pic:blipFill>
                  <pic:spPr>
                    <a:xfrm>
                      <a:off x="0" y="0"/>
                      <a:ext cx="5120640" cy="4466745"/>
                    </a:xfrm>
                    <a:prstGeom prst="rect"/>
                  </pic:spPr>
                </pic:pic>
              </a:graphicData>
            </a:graphic>
          </wp:inline>
        </w:drawing>
      </w:r>
    </w:p>
    <w:p>
      <w:pPr>
        <w:pStyle w:val="Caption"/>
      </w:pPr>
      <w:r>
        <w:rPr>
          <w:sz w:val="19"/>
        </w:rPr>
        <w:t>Figure 1. Modelled person-trip load on Greater Kampala's roads (relative index), with the railway.</w:t>
      </w:r>
    </w:p>
    <w:p>
      <w:pPr>
        <w:keepNext/>
        <w:spacing w:after="40"/>
        <w:jc w:val="center"/>
      </w:pPr>
      <w:r>
        <w:drawing>
          <wp:inline xmlns:a="http://schemas.openxmlformats.org/drawingml/2006/main" xmlns:pic="http://schemas.openxmlformats.org/drawingml/2006/picture">
            <wp:extent cx="5120640" cy="4424400"/>
            <wp:docPr id="2" name="Picture 2"/>
            <wp:cNvGraphicFramePr>
              <a:graphicFrameLocks noChangeAspect="1"/>
            </wp:cNvGraphicFramePr>
            <a:graphic>
              <a:graphicData uri="http://schemas.openxmlformats.org/drawingml/2006/picture">
                <pic:pic>
                  <pic:nvPicPr>
                    <pic:cNvPr id="0" name="k02_candidates.png"/>
                    <pic:cNvPicPr/>
                  </pic:nvPicPr>
                  <pic:blipFill>
                    <a:blip r:embed="rId11"/>
                    <a:stretch>
                      <a:fillRect/>
                    </a:stretch>
                  </pic:blipFill>
                  <pic:spPr>
                    <a:xfrm>
                      <a:off x="0" y="0"/>
                      <a:ext cx="5120640" cy="4424400"/>
                    </a:xfrm>
                    <a:prstGeom prst="rect"/>
                  </pic:spPr>
                </pic:pic>
              </a:graphicData>
            </a:graphic>
          </wp:inline>
        </w:drawing>
      </w:r>
    </w:p>
    <w:p>
      <w:pPr>
        <w:pStyle w:val="Caption"/>
      </w:pPr>
      <w:r>
        <w:rPr>
          <w:sz w:val="19"/>
        </w:rPr>
        <w:t>Figure 2. First-pass screening of corridors within 20 km of the centre.</w:t>
      </w:r>
    </w:p>
    <w:p>
      <w:pPr>
        <w:pStyle w:val="Heading2"/>
      </w:pPr>
      <w:r>
        <w:t>4.2 Land use: rules and machine learning</w:t>
      </w:r>
    </w:p>
    <w:p>
      <w:pPr>
        <w:jc w:val="both"/>
      </w:pPr>
      <w:r>
        <w:rPr/>
        <w:t>Each 250 m cell is described by its buildings: buildings per hectare, median and mean footprint, ground coverage, share under 40 m², and the spread of sizes. A rule-based classification separates seven classes:</w:t>
      </w:r>
    </w:p>
    <w:p>
      <w:pPr>
        <w:pStyle w:val="ListBullet"/>
        <w:spacing w:after="40"/>
      </w:pPr>
      <w:r>
        <w:rPr/>
        <w:t>wetland and water;</w:t>
      </w:r>
    </w:p>
    <w:p>
      <w:pPr>
        <w:pStyle w:val="ListBullet"/>
        <w:spacing w:after="40"/>
      </w:pPr>
      <w:r>
        <w:rPr/>
        <w:t>commercial and industrial;</w:t>
      </w:r>
    </w:p>
    <w:p>
      <w:pPr>
        <w:pStyle w:val="ListBullet"/>
        <w:spacing w:after="40"/>
      </w:pPr>
      <w:r>
        <w:rPr/>
        <w:t>institutional;</w:t>
      </w:r>
    </w:p>
    <w:p>
      <w:pPr>
        <w:pStyle w:val="ListBullet"/>
        <w:spacing w:after="40"/>
      </w:pPr>
      <w:r>
        <w:rPr/>
        <w:t>dense small-plot settlement (≥ 35 buildings per ha, median footprint &lt; 70 m²);</w:t>
      </w:r>
    </w:p>
    <w:p>
      <w:pPr>
        <w:pStyle w:val="ListBullet"/>
        <w:spacing w:after="40"/>
      </w:pPr>
      <w:r>
        <w:rPr/>
        <w:t>planned or larger-plot residential;</w:t>
      </w:r>
    </w:p>
    <w:p>
      <w:pPr>
        <w:pStyle w:val="ListBullet"/>
        <w:spacing w:after="40"/>
      </w:pPr>
      <w:r>
        <w:rPr/>
        <w:t>peri-urban;</w:t>
      </w:r>
    </w:p>
    <w:p>
      <w:pPr>
        <w:pStyle w:val="ListBullet"/>
        <w:spacing w:after="40"/>
      </w:pPr>
      <w:r>
        <w:rPr/>
        <w:t>rural.</w:t>
      </w:r>
    </w:p>
    <w:p>
      <w:pPr>
        <w:jc w:val="both"/>
      </w:pPr>
      <w:r>
        <w:rPr/>
        <w:t>"Dense small-plot" describes the form typical of unplanned, informal settlement; it is not a tenure classification.</w:t>
      </w:r>
    </w:p>
    <w:p>
      <w:pPr>
        <w:jc w:val="both"/>
      </w:pPr>
      <w:r>
        <w:rPr/>
        <w:t>The rules are refined with a random forest (400 trees, balanced class weights). Its features combine building form with imagery measures from Esri World Imagery at about 4.8 m pixels:</w:t>
      </w:r>
    </w:p>
    <w:p>
      <w:pPr>
        <w:pStyle w:val="ListBullet"/>
        <w:spacing w:after="40"/>
      </w:pPr>
      <w:r>
        <w:rPr/>
        <w:t>mean and spread of red, green and blue;</w:t>
      </w:r>
    </w:p>
    <w:p>
      <w:pPr>
        <w:pStyle w:val="ListBullet"/>
        <w:spacing w:after="40"/>
      </w:pPr>
      <w:r>
        <w:rPr/>
        <w:t>brightness;</w:t>
      </w:r>
    </w:p>
    <w:p>
      <w:pPr>
        <w:pStyle w:val="ListBullet"/>
        <w:spacing w:after="40"/>
      </w:pPr>
      <w:r>
        <w:rPr/>
        <w:t>an excess-green vegetation index and the share of vegetated pixels;</w:t>
      </w:r>
    </w:p>
    <w:p>
      <w:pPr>
        <w:pStyle w:val="ListBullet"/>
        <w:spacing w:after="40"/>
      </w:pPr>
      <w:r>
        <w:rPr/>
        <w:t>the share of red/orange and of bright roofs;</w:t>
      </w:r>
    </w:p>
    <w:p>
      <w:pPr>
        <w:pStyle w:val="ListBullet"/>
        <w:spacing w:after="40"/>
      </w:pPr>
      <w:r>
        <w:rPr/>
        <w:t>texture, as the mean image gradient.</w:t>
      </w:r>
    </w:p>
    <w:p>
      <w:pPr>
        <w:jc w:val="both"/>
      </w:pPr>
      <w:r>
        <w:rPr/>
        <w:t>Labels are the 23,585 cells where one OpenStreetMap land-use group covers more than half the cell. Accuracy is measured by spatial cross-validation: the city is cut into 2.5 km blocks and whole blocks are held out, so the model is never scored on a neighbour of a training cell.</w:t>
      </w:r>
    </w:p>
    <w:p>
      <w:pPr>
        <w:jc w:val="both"/>
      </w:pPr>
      <w:r>
        <w:rPr/>
        <w:t>The model's predictions replace the rule class where it is at least 60% confident of wetland, commercial/industrial or institutional use, or of residential use where the rules said otherwise. As an unsupervised check, a Gaussian mixture model is fitted to the residential cells, with the number of groups chosen by BIC, and its groups are compared with the rule classes.</w:t>
      </w:r>
    </w:p>
    <w:p>
      <w:pPr>
        <w:pStyle w:val="Heading2"/>
      </w:pPr>
      <w:r>
        <w:t>4.3 Clearance and displacement</w:t>
      </w:r>
    </w:p>
    <w:p>
      <w:pPr>
        <w:jc w:val="both"/>
      </w:pPr>
      <w:r>
        <w:rPr/>
        <w:t>Along each candidate's core length, a cross-section is cast every 100 m, 60 m to each side of the centreline. The clear width is the distance to the first building footprint on the left plus that on the right; 2,347 sections are measured. Two cross-sections are assumed:</w:t>
      </w:r>
    </w:p>
    <w:p>
      <w:pPr>
        <w:pStyle w:val="ListBullet"/>
        <w:spacing w:after="40"/>
      </w:pPr>
      <w:r>
        <w:rPr/>
        <w:t>24 m: a median busway or double track with stations, one general lane each way and sidewalks;</w:t>
      </w:r>
    </w:p>
    <w:p>
      <w:pPr>
        <w:pStyle w:val="ListBullet"/>
        <w:spacing w:after="40"/>
      </w:pPr>
      <w:r>
        <w:rPr/>
        <w:t>30 m: the same, with parking and loading.</w:t>
      </w:r>
    </w:p>
    <w:p>
      <w:pPr>
        <w:jc w:val="both"/>
      </w:pPr>
      <w:r>
        <w:rPr/>
        <w:t>Buildings whose footprint lies inside each corridor are counted and assigned the land-use class of their cell.</w:t>
      </w:r>
    </w:p>
    <w:p>
      <w:pPr>
        <w:pStyle w:val="Heading2"/>
      </w:pPr>
      <w:r>
        <w:t>4.4 Lines and networks</w:t>
      </w:r>
    </w:p>
    <w:p>
      <w:pPr>
        <w:jc w:val="both"/>
      </w:pPr>
      <w:r>
        <w:rPr/>
        <w:t>Transit lines are added to the road network as a separate layer, with three costs:</w:t>
      </w:r>
    </w:p>
    <w:p>
      <w:pPr>
        <w:pStyle w:val="ListBullet"/>
        <w:spacing w:after="40"/>
      </w:pPr>
      <w:r>
        <w:rPr/>
        <w:t>in-vehicle time at a commercial speed that includes stops (BRT 22 km/h, light rail 28 km/h);</w:t>
      </w:r>
    </w:p>
    <w:p>
      <w:pPr>
        <w:pStyle w:val="ListBullet"/>
        <w:spacing w:after="40"/>
      </w:pPr>
      <w:r>
        <w:rPr/>
        <w:t>a boarding penalty for the wait and walk (5 and 6 minutes);</w:t>
      </w:r>
    </w:p>
    <w:p>
      <w:pPr>
        <w:pStyle w:val="ListBullet"/>
        <w:spacing w:after="40"/>
      </w:pPr>
      <w:r>
        <w:rPr/>
        <w:t>one minute to alight.</w:t>
      </w:r>
    </w:p>
    <w:p>
      <w:pPr>
        <w:jc w:val="both"/>
      </w:pPr>
      <w:r>
        <w:rPr/>
        <w:t>Transfers between lines pass through road nodes and pay a new boarding penalty. Minibus taxis remain in general traffic.</w:t>
      </w:r>
    </w:p>
    <w:p>
      <w:pPr>
        <w:jc w:val="both"/>
      </w:pPr>
      <w:r>
        <w:rPr/>
        <w:t>Since peak speeds are unknown, every scenario is run with road travel times at 1, 1.5, 2 and 3 times the assumed values. Two networks are grown greedily, at each step adding the corridor that gives the largest marginal gain per km:</w:t>
      </w:r>
    </w:p>
    <w:p>
      <w:pPr>
        <w:pStyle w:val="ListBullet"/>
        <w:spacing w:after="40"/>
      </w:pPr>
      <w:r>
        <w:rPr>
          <w:b/>
        </w:rPr>
        <w:t>efficiency:</w:t>
      </w:r>
      <w:r>
        <w:rPr/>
        <w:t xml:space="preserve"> person-minutes saved;</w:t>
      </w:r>
    </w:p>
    <w:p>
      <w:pPr>
        <w:pStyle w:val="ListBullet"/>
        <w:spacing w:after="40"/>
      </w:pPr>
      <w:r>
        <w:rPr>
          <w:b/>
        </w:rPr>
        <w:t>equity:</w:t>
      </w:r>
      <w:r>
        <w:rPr/>
        <w:t xml:space="preserve"> additional floor area reachable within 45 minutes by residents of dense small-plot settlement.</w:t>
      </w:r>
    </w:p>
    <w:p>
      <w:pPr>
        <w:jc w:val="both"/>
      </w:pPr>
      <w:r>
        <w:rPr/>
        <w:t>Each network grows to six corridors and is then evaluated at all congestion levels, as BRT and as light rail.</w:t>
      </w:r>
    </w:p>
    <w:p>
      <w:pPr>
        <w:pStyle w:val="Heading2"/>
      </w:pPr>
      <w:r>
        <w:t>4.5 Equity</w:t>
      </w:r>
    </w:p>
    <w:p>
      <w:pPr>
        <w:jc w:val="both"/>
      </w:pPr>
      <w:r>
        <w:rPr/>
        <w:t>Access is the built-up floor area reachable within 45 minutes door to door. Gains are reported:</w:t>
      </w:r>
    </w:p>
    <w:p>
      <w:pPr>
        <w:pStyle w:val="ListBullet"/>
        <w:spacing w:after="40"/>
      </w:pPr>
      <w:r>
        <w:rPr/>
        <w:t>by the land-use class residents live in;</w:t>
      </w:r>
    </w:p>
    <w:p>
      <w:pPr>
        <w:pStyle w:val="ListBullet"/>
        <w:spacing w:after="40"/>
      </w:pPr>
      <w:r>
        <w:rPr/>
        <w:t>by distance from the centre;</w:t>
      </w:r>
    </w:p>
    <w:p>
      <w:pPr>
        <w:pStyle w:val="ListBullet"/>
        <w:spacing w:after="40"/>
      </w:pPr>
      <w:r>
        <w:rPr/>
        <w:t>for the 40% of residents with the least access today;</w:t>
      </w:r>
    </w:p>
    <w:p>
      <w:pPr>
        <w:pStyle w:val="ListBullet"/>
        <w:spacing w:after="40"/>
      </w:pPr>
      <w:r>
        <w:rPr/>
        <w:t>as the shift in the population-weighted Lorenz curve and Gini coefficient of access.</w:t>
      </w:r>
    </w:p>
    <w:p>
      <w:pPr>
        <w:pStyle w:val="Heading2"/>
      </w:pPr>
      <w:r>
        <w:t>4.6 Appraisal</w:t>
      </w:r>
    </w:p>
    <w:p>
      <w:pPr>
        <w:jc w:val="both"/>
      </w:pPr>
      <w:r>
        <w:rPr/>
        <w:t>Benefits are travel-time savings only. Operating costs, emissions and safety are left out, so the benefits are conservative. Costs are capital per km, resettlement per displaced building, and operation and maintenance. Table 2 gives the ranges, each drawn from a triangular distribution 2,000 times. The appraisal uses a 12% discount rate, four years of construction and 25 years of operation.</w:t>
      </w:r>
    </w:p>
    <w:p>
      <w:pPr>
        <w:pStyle w:val="Caption"/>
        <w:keepNext/>
        <w:spacing w:after="60"/>
      </w:pPr>
      <w:r>
        <w:rPr>
          <w:sz w:val="19"/>
        </w:rPr>
        <w:t>Table 2. Appraisal inputs (low, central, high).</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Input</w:t>
            </w:r>
          </w:p>
        </w:tc>
        <w:tc>
          <w:tcPr>
            <w:tcW w:type="dxa" w:w="3024"/>
            <w:shd w:val="clear" w:color="auto" w:fill="EFEDE8"/>
            <w:tcBorders>
              <w:bottom w:val="single" w:sz="6" w:color="1D2321"/>
            </w:tcBorders>
          </w:tcPr>
          <w:p>
            <w:pPr>
              <w:spacing w:after="20" w:line="240" w:lineRule="auto"/>
            </w:pPr>
            <w:r>
              <w:rPr>
                <w:b/>
                <w:sz w:val="18"/>
              </w:rPr>
              <w:t>Range</w:t>
            </w:r>
          </w:p>
        </w:tc>
        <w:tc>
          <w:tcPr>
            <w:tcW w:type="dxa" w:w="3024"/>
            <w:shd w:val="clear" w:color="auto" w:fill="EFEDE8"/>
            <w:tcBorders>
              <w:bottom w:val="single" w:sz="6" w:color="1D2321"/>
            </w:tcBorders>
          </w:tcPr>
          <w:p>
            <w:pPr>
              <w:spacing w:after="20" w:line="240" w:lineRule="auto"/>
            </w:pPr>
            <w:r>
              <w:rPr>
                <w:b/>
                <w:sz w:val="18"/>
              </w:rPr>
              <w:t>Basis</w:t>
            </w:r>
          </w:p>
        </w:tc>
      </w:tr>
      <w:tr>
        <w:tc>
          <w:tcPr>
            <w:tcW w:type="dxa" w:w="3024"/>
          </w:tcPr>
          <w:p>
            <w:pPr>
              <w:spacing w:after="20" w:line="240" w:lineRule="auto"/>
            </w:pPr>
            <w:r>
              <w:rPr>
                <w:sz w:val="18"/>
              </w:rPr>
              <w:t>BRT capital (US$ M/km)</w:t>
            </w:r>
          </w:p>
        </w:tc>
        <w:tc>
          <w:tcPr>
            <w:tcW w:type="dxa" w:w="3024"/>
          </w:tcPr>
          <w:p>
            <w:pPr>
              <w:spacing w:after="20" w:line="240" w:lineRule="auto"/>
            </w:pPr>
            <w:r>
              <w:rPr>
                <w:sz w:val="18"/>
              </w:rPr>
              <w:t>5, 10, 20</w:t>
            </w:r>
          </w:p>
        </w:tc>
        <w:tc>
          <w:tcPr>
            <w:tcW w:type="dxa" w:w="3024"/>
          </w:tcPr>
          <w:p>
            <w:pPr>
              <w:spacing w:after="20" w:line="240" w:lineRule="auto"/>
            </w:pPr>
            <w:r>
              <w:rPr>
                <w:sz w:val="18"/>
              </w:rPr>
              <w:t>ITDP (2017); Dar es Salaam DART</w:t>
            </w:r>
          </w:p>
        </w:tc>
      </w:tr>
      <w:tr>
        <w:tc>
          <w:tcPr>
            <w:tcW w:type="dxa" w:w="3024"/>
          </w:tcPr>
          <w:p>
            <w:pPr>
              <w:spacing w:after="20" w:line="240" w:lineRule="auto"/>
            </w:pPr>
            <w:r>
              <w:rPr>
                <w:sz w:val="18"/>
              </w:rPr>
              <w:t>Light rail capital (US$ M/km)</w:t>
            </w:r>
          </w:p>
        </w:tc>
        <w:tc>
          <w:tcPr>
            <w:tcW w:type="dxa" w:w="3024"/>
          </w:tcPr>
          <w:p>
            <w:pPr>
              <w:spacing w:after="20" w:line="240" w:lineRule="auto"/>
            </w:pPr>
            <w:r>
              <w:rPr>
                <w:sz w:val="18"/>
              </w:rPr>
              <w:t>15, 35, 60</w:t>
            </w:r>
          </w:p>
        </w:tc>
        <w:tc>
          <w:tcPr>
            <w:tcW w:type="dxa" w:w="3024"/>
          </w:tcPr>
          <w:p>
            <w:pPr>
              <w:spacing w:after="20" w:line="240" w:lineRule="auto"/>
            </w:pPr>
            <w:r>
              <w:rPr>
                <w:sz w:val="18"/>
              </w:rPr>
              <w:t>Addis Ababa LRT; Flyvbjerg et al. (2008)</w:t>
            </w:r>
          </w:p>
        </w:tc>
      </w:tr>
      <w:tr>
        <w:tc>
          <w:tcPr>
            <w:tcW w:type="dxa" w:w="3024"/>
          </w:tcPr>
          <w:p>
            <w:pPr>
              <w:spacing w:after="20" w:line="240" w:lineRule="auto"/>
            </w:pPr>
            <w:r>
              <w:rPr>
                <w:sz w:val="18"/>
              </w:rPr>
              <w:t>Resettlement (US$ k per building)</w:t>
            </w:r>
          </w:p>
        </w:tc>
        <w:tc>
          <w:tcPr>
            <w:tcW w:type="dxa" w:w="3024"/>
          </w:tcPr>
          <w:p>
            <w:pPr>
              <w:spacing w:after="20" w:line="240" w:lineRule="auto"/>
            </w:pPr>
            <w:r>
              <w:rPr>
                <w:sz w:val="18"/>
              </w:rPr>
              <w:t>10, 30, 60</w:t>
            </w:r>
          </w:p>
        </w:tc>
        <w:tc>
          <w:tcPr>
            <w:tcW w:type="dxa" w:w="3024"/>
          </w:tcPr>
          <w:p>
            <w:pPr>
              <w:spacing w:after="20" w:line="240" w:lineRule="auto"/>
            </w:pPr>
            <w:r>
              <w:rPr>
                <w:sz w:val="18"/>
              </w:rPr>
              <w:t>Ugandan resettlement action plans</w:t>
            </w:r>
          </w:p>
        </w:tc>
      </w:tr>
      <w:tr>
        <w:tc>
          <w:tcPr>
            <w:tcW w:type="dxa" w:w="3024"/>
          </w:tcPr>
          <w:p>
            <w:pPr>
              <w:spacing w:after="20" w:line="240" w:lineRule="auto"/>
            </w:pPr>
            <w:r>
              <w:rPr>
                <w:sz w:val="18"/>
              </w:rPr>
              <w:t>O&amp;M (% of capital a year)</w:t>
            </w:r>
          </w:p>
        </w:tc>
        <w:tc>
          <w:tcPr>
            <w:tcW w:type="dxa" w:w="3024"/>
          </w:tcPr>
          <w:p>
            <w:pPr>
              <w:spacing w:after="20" w:line="240" w:lineRule="auto"/>
            </w:pPr>
            <w:r>
              <w:rPr>
                <w:sz w:val="18"/>
              </w:rPr>
              <w:t>BRT 3, 5, 8; LRT 3, 4, 6</w:t>
            </w:r>
          </w:p>
        </w:tc>
        <w:tc>
          <w:tcPr>
            <w:tcW w:type="dxa" w:w="3024"/>
          </w:tcPr>
          <w:p>
            <w:pPr>
              <w:spacing w:after="20" w:line="240" w:lineRule="auto"/>
            </w:pPr>
            <w:r>
              <w:rPr>
                <w:sz w:val="18"/>
              </w:rPr>
              <w:t>Industry ranges</w:t>
            </w:r>
          </w:p>
        </w:tc>
      </w:tr>
      <w:tr>
        <w:tc>
          <w:tcPr>
            <w:tcW w:type="dxa" w:w="3024"/>
          </w:tcPr>
          <w:p>
            <w:pPr>
              <w:spacing w:after="20" w:line="240" w:lineRule="auto"/>
            </w:pPr>
            <w:r>
              <w:rPr>
                <w:sz w:val="18"/>
              </w:rPr>
              <w:t>Public-transport trips per resident a day</w:t>
            </w:r>
          </w:p>
        </w:tc>
        <w:tc>
          <w:tcPr>
            <w:tcW w:type="dxa" w:w="3024"/>
          </w:tcPr>
          <w:p>
            <w:pPr>
              <w:spacing w:after="20" w:line="240" w:lineRule="auto"/>
            </w:pPr>
            <w:r>
              <w:rPr>
                <w:sz w:val="18"/>
              </w:rPr>
              <w:t>0.5, 0.8, 1.2</w:t>
            </w:r>
          </w:p>
        </w:tc>
        <w:tc>
          <w:tcPr>
            <w:tcW w:type="dxa" w:w="3024"/>
          </w:tcPr>
          <w:p>
            <w:pPr>
              <w:spacing w:after="20" w:line="240" w:lineRule="auto"/>
            </w:pPr>
            <w:r>
              <w:rPr>
                <w:sz w:val="18"/>
              </w:rPr>
              <w:t>Kampala travel surveys</w:t>
            </w:r>
          </w:p>
        </w:tc>
      </w:tr>
      <w:tr>
        <w:tc>
          <w:tcPr>
            <w:tcW w:type="dxa" w:w="3024"/>
          </w:tcPr>
          <w:p>
            <w:pPr>
              <w:spacing w:after="20" w:line="240" w:lineRule="auto"/>
            </w:pPr>
            <w:r>
              <w:rPr>
                <w:sz w:val="18"/>
              </w:rPr>
              <w:t>Value of time (US$ per hour)</w:t>
            </w:r>
          </w:p>
        </w:tc>
        <w:tc>
          <w:tcPr>
            <w:tcW w:type="dxa" w:w="3024"/>
          </w:tcPr>
          <w:p>
            <w:pPr>
              <w:spacing w:after="20" w:line="240" w:lineRule="auto"/>
            </w:pPr>
            <w:r>
              <w:rPr>
                <w:sz w:val="18"/>
              </w:rPr>
              <w:t>0.4, 0.8, 1.5</w:t>
            </w:r>
          </w:p>
        </w:tc>
        <w:tc>
          <w:tcPr>
            <w:tcW w:type="dxa" w:w="3024"/>
          </w:tcPr>
          <w:p>
            <w:pPr>
              <w:spacing w:after="20" w:line="240" w:lineRule="auto"/>
            </w:pPr>
            <w:r>
              <w:rPr>
                <w:sz w:val="18"/>
              </w:rPr>
              <w:t>30–60% of the wage rate</w:t>
            </w:r>
          </w:p>
        </w:tc>
      </w:tr>
      <w:tr>
        <w:tc>
          <w:tcPr>
            <w:tcW w:type="dxa" w:w="3024"/>
          </w:tcPr>
          <w:p>
            <w:pPr>
              <w:spacing w:after="20" w:line="240" w:lineRule="auto"/>
            </w:pPr>
            <w:r>
              <w:rPr>
                <w:sz w:val="18"/>
              </w:rPr>
              <w:t>Growth of trips (% a year)</w:t>
            </w:r>
          </w:p>
        </w:tc>
        <w:tc>
          <w:tcPr>
            <w:tcW w:type="dxa" w:w="3024"/>
          </w:tcPr>
          <w:p>
            <w:pPr>
              <w:spacing w:after="20" w:line="240" w:lineRule="auto"/>
            </w:pPr>
            <w:r>
              <w:rPr>
                <w:sz w:val="18"/>
              </w:rPr>
              <w:t>2, 4, 6</w:t>
            </w:r>
          </w:p>
        </w:tc>
        <w:tc>
          <w:tcPr>
            <w:tcW w:type="dxa" w:w="3024"/>
          </w:tcPr>
          <w:p>
            <w:pPr>
              <w:spacing w:after="20" w:line="240" w:lineRule="auto"/>
            </w:pPr>
            <w:r>
              <w:rPr>
                <w:sz w:val="18"/>
              </w:rPr>
              <w:t>Population growth</w:t>
            </w:r>
          </w:p>
        </w:tc>
      </w:tr>
    </w:tbl>
    <w:p>
      <w:pPr>
        <w:spacing w:after="80"/>
      </w:pPr>
    </w:p>
    <w:p>
      <w:pPr>
        <w:pStyle w:val="Heading1"/>
      </w:pPr>
      <w:r>
        <w:t>5. Results</w:t>
      </w:r>
    </w:p>
    <w:p>
      <w:pPr>
        <w:pStyle w:val="Heading2"/>
      </w:pPr>
      <w:r>
        <w:t>5.1 Land-use patterns</w:t>
      </w:r>
    </w:p>
    <w:p>
      <w:pPr>
        <w:jc w:val="both"/>
      </w:pPr>
      <w:r>
        <w:rPr/>
        <w:t>On the rule-based classification refined by the model:</w:t>
      </w:r>
    </w:p>
    <w:p>
      <w:pPr>
        <w:pStyle w:val="ListBullet"/>
        <w:spacing w:after="40"/>
      </w:pPr>
      <w:r>
        <w:rPr/>
        <w:t>54% of residents live in planned or larger-plot areas;</w:t>
      </w:r>
    </w:p>
    <w:p>
      <w:pPr>
        <w:pStyle w:val="ListBullet"/>
        <w:spacing w:after="40"/>
      </w:pPr>
      <w:r>
        <w:rPr/>
        <w:t>19% in peri-urban areas;</w:t>
      </w:r>
    </w:p>
    <w:p>
      <w:pPr>
        <w:pStyle w:val="ListBullet"/>
        <w:spacing w:after="40"/>
      </w:pPr>
      <w:r>
        <w:rPr/>
        <w:t>15% in dense small-plot settlement, concentrated in a belt around the centre;</w:t>
      </w:r>
    </w:p>
    <w:p>
      <w:pPr>
        <w:pStyle w:val="ListBullet"/>
        <w:spacing w:after="40"/>
      </w:pPr>
      <w:r>
        <w:rPr/>
        <w:t>6% in rural cells and 5% in wetland or water cells (3).</w:t>
      </w:r>
    </w:p>
    <w:p>
      <w:pPr>
        <w:jc w:val="both"/>
      </w:pPr>
      <w:r>
        <w:rPr/>
        <w:t>The random forest reaches 92% accuracy under spatial cross-validation. F1 scores are 0.93 for residential, 0.95 for wetland/water, 0.70 for farm and forest, and 0.62 for commercial/industrial. It fails on institutional land, which has only 41 training cells (4).</w:t>
      </w:r>
    </w:p>
    <w:p>
      <w:pPr>
        <w:jc w:val="both"/>
      </w:pPr>
      <w:r>
        <w:rPr/>
        <w:t>Imagery features carry most of the signal: alone they reach 91% accuracy, against 85% for building form alone. Image texture and colour spread rank among the most important features. The Gaussian mixture separates dense small-plot settlement as its own group (60% of one group), independently of the rules. The model changed the class of 4,024 cells, home to about 300,000 residents, mainly between wetland and residential at the settlement edge.</w:t>
      </w:r>
    </w:p>
    <w:p>
      <w:pPr>
        <w:keepNext/>
        <w:spacing w:after="40"/>
        <w:jc w:val="center"/>
      </w:pPr>
      <w:r>
        <w:drawing>
          <wp:inline xmlns:a="http://schemas.openxmlformats.org/drawingml/2006/main" xmlns:pic="http://schemas.openxmlformats.org/drawingml/2006/picture">
            <wp:extent cx="5760720" cy="3901548"/>
            <wp:docPr id="3" name="Picture 3"/>
            <wp:cNvGraphicFramePr>
              <a:graphicFrameLocks noChangeAspect="1"/>
            </wp:cNvGraphicFramePr>
            <a:graphic>
              <a:graphicData uri="http://schemas.openxmlformats.org/drawingml/2006/picture">
                <pic:pic>
                  <pic:nvPicPr>
                    <pic:cNvPr id="0" name="s02_landuse.png"/>
                    <pic:cNvPicPr/>
                  </pic:nvPicPr>
                  <pic:blipFill>
                    <a:blip r:embed="rId12"/>
                    <a:stretch>
                      <a:fillRect/>
                    </a:stretch>
                  </pic:blipFill>
                  <pic:spPr>
                    <a:xfrm>
                      <a:off x="0" y="0"/>
                      <a:ext cx="5760720" cy="3901548"/>
                    </a:xfrm>
                    <a:prstGeom prst="rect"/>
                  </pic:spPr>
                </pic:pic>
              </a:graphicData>
            </a:graphic>
          </wp:inline>
        </w:drawing>
      </w:r>
    </w:p>
    <w:p>
      <w:pPr>
        <w:pStyle w:val="Caption"/>
      </w:pPr>
      <w:r>
        <w:rPr>
          <w:sz w:val="19"/>
        </w:rPr>
        <w:t>Figure 3. Land-use patterns of Greater Kampala in 250 m cells, with satellite close-ups of a typical cell of each pattern.</w:t>
      </w:r>
    </w:p>
    <w:p>
      <w:pPr>
        <w:keepNext/>
        <w:spacing w:after="40"/>
        <w:jc w:val="center"/>
      </w:pPr>
      <w:r>
        <w:drawing>
          <wp:inline xmlns:a="http://schemas.openxmlformats.org/drawingml/2006/main" xmlns:pic="http://schemas.openxmlformats.org/drawingml/2006/picture">
            <wp:extent cx="5760720" cy="2739350"/>
            <wp:docPr id="4" name="Picture 4"/>
            <wp:cNvGraphicFramePr>
              <a:graphicFrameLocks noChangeAspect="1"/>
            </wp:cNvGraphicFramePr>
            <a:graphic>
              <a:graphicData uri="http://schemas.openxmlformats.org/drawingml/2006/picture">
                <pic:pic>
                  <pic:nvPicPr>
                    <pic:cNvPr id="0" name="k08_ml_landuse.png"/>
                    <pic:cNvPicPr/>
                  </pic:nvPicPr>
                  <pic:blipFill>
                    <a:blip r:embed="rId13"/>
                    <a:stretch>
                      <a:fillRect/>
                    </a:stretch>
                  </pic:blipFill>
                  <pic:spPr>
                    <a:xfrm>
                      <a:off x="0" y="0"/>
                      <a:ext cx="5760720" cy="2739350"/>
                    </a:xfrm>
                    <a:prstGeom prst="rect"/>
                  </pic:spPr>
                </pic:pic>
              </a:graphicData>
            </a:graphic>
          </wp:inline>
        </w:drawing>
      </w:r>
    </w:p>
    <w:p>
      <w:pPr>
        <w:pStyle w:val="Caption"/>
      </w:pPr>
      <w:r>
        <w:rPr>
          <w:sz w:val="19"/>
        </w:rPr>
        <w:t>Figure 4. Machine learning for land use: prediction, feature importance, spatial cross-validation and the unsupervised check.</w:t>
      </w:r>
    </w:p>
    <w:p>
      <w:pPr>
        <w:pStyle w:val="Heading2"/>
      </w:pPr>
      <w:r>
        <w:t>5.2 Room for rapid transit</w:t>
      </w:r>
    </w:p>
    <w:p>
      <w:pPr>
        <w:jc w:val="both"/>
      </w:pPr>
      <w:r>
        <w:rPr/>
        <w:t>Most candidate corridors have room for a 24 m corridor along nearly their whole core length (Table 3; 5).</w:t>
      </w:r>
    </w:p>
    <w:p>
      <w:pPr>
        <w:pStyle w:val="ListBullet"/>
        <w:spacing w:after="40"/>
      </w:pPr>
      <w:r>
        <w:rPr>
          <w:b/>
        </w:rPr>
        <w:t>Northern Bypass:</w:t>
      </w:r>
      <w:r>
        <w:rPr/>
        <w:t xml:space="preserve"> the median clear width is over 100 m, and only 20 buildings stand inside a 24 m corridor over 39 km.</w:t>
      </w:r>
    </w:p>
    <w:p>
      <w:pPr>
        <w:pStyle w:val="ListBullet"/>
        <w:spacing w:after="40"/>
      </w:pPr>
      <w:r>
        <w:rPr>
          <w:b/>
        </w:rPr>
        <w:t>Main radials (Jinja, Masaka, Entebbe and Hoima/Nansana roads):</w:t>
      </w:r>
      <w:r>
        <w:rPr/>
        <w:t xml:space="preserve"> 10–14 buildings per km would be displaced. Most are in planned areas, but 33–88 per corridor stand in dense small-plot settlement.</w:t>
      </w:r>
    </w:p>
    <w:p>
      <w:pPr>
        <w:pStyle w:val="ListBullet"/>
        <w:spacing w:after="40"/>
      </w:pPr>
      <w:r>
        <w:rPr>
          <w:b/>
        </w:rPr>
        <w:t>Bwaise on Bombo Road:</w:t>
      </w:r>
      <w:r>
        <w:rPr/>
        <w:t xml:space="preserve"> 38 per km, of which 143 of 210 are in dense small-plot settlement.</w:t>
      </w:r>
    </w:p>
    <w:p>
      <w:pPr>
        <w:pStyle w:val="ListBullet"/>
        <w:spacing w:after="40"/>
      </w:pPr>
      <w:r>
        <w:rPr>
          <w:b/>
        </w:rPr>
        <w:t>Kireka Road:</w:t>
      </w:r>
      <w:r>
        <w:rPr/>
        <w:t xml:space="preserve"> 95 per km, of which 268 are in dense small-plot settlement and 79 in wetland.</w:t>
      </w:r>
    </w:p>
    <w:p>
      <w:pPr>
        <w:jc w:val="both"/>
      </w:pPr>
      <w:r>
        <w:rPr/>
        <w:t>6 shows the pinch points at street level on satellite imagery.</w:t>
      </w:r>
    </w:p>
    <w:p>
      <w:pPr>
        <w:pStyle w:val="Caption"/>
        <w:keepNext/>
        <w:spacing w:after="60"/>
      </w:pPr>
      <w:r>
        <w:rPr>
          <w:sz w:val="19"/>
        </w:rPr>
        <w:t>Table 3. Clearance along the main candidates (24 m corridor).</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km</w:t>
            </w:r>
          </w:p>
        </w:tc>
        <w:tc>
          <w:tcPr>
            <w:tcW w:type="dxa" w:w="1512"/>
            <w:shd w:val="clear" w:color="auto" w:fill="EFEDE8"/>
            <w:tcBorders>
              <w:bottom w:val="single" w:sz="6" w:color="1D2321"/>
            </w:tcBorders>
          </w:tcPr>
          <w:p>
            <w:pPr>
              <w:spacing w:after="20" w:line="240" w:lineRule="auto"/>
            </w:pPr>
            <w:r>
              <w:rPr>
                <w:b/>
                <w:sz w:val="18"/>
              </w:rPr>
              <w:t>Median clear width (m)</w:t>
            </w:r>
          </w:p>
        </w:tc>
        <w:tc>
          <w:tcPr>
            <w:tcW w:type="dxa" w:w="1512"/>
            <w:shd w:val="clear" w:color="auto" w:fill="EFEDE8"/>
            <w:tcBorders>
              <w:bottom w:val="single" w:sz="6" w:color="1D2321"/>
            </w:tcBorders>
          </w:tcPr>
          <w:p>
            <w:pPr>
              <w:spacing w:after="20" w:line="240" w:lineRule="auto"/>
            </w:pPr>
            <w:r>
              <w:rPr>
                <w:b/>
                <w:sz w:val="18"/>
              </w:rPr>
              <w:t>Narrowest 10% (m)</w:t>
            </w:r>
          </w:p>
        </w:tc>
        <w:tc>
          <w:tcPr>
            <w:tcW w:type="dxa" w:w="1512"/>
            <w:shd w:val="clear" w:color="auto" w:fill="EFEDE8"/>
            <w:tcBorders>
              <w:bottom w:val="single" w:sz="6" w:color="1D2321"/>
            </w:tcBorders>
          </w:tcPr>
          <w:p>
            <w:pPr>
              <w:spacing w:after="20" w:line="240" w:lineRule="auto"/>
            </w:pPr>
            <w:r>
              <w:rPr>
                <w:b/>
                <w:sz w:val="18"/>
              </w:rPr>
              <w:t>Buildings inside</w:t>
            </w:r>
          </w:p>
        </w:tc>
        <w:tc>
          <w:tcPr>
            <w:tcW w:type="dxa" w:w="1512"/>
            <w:shd w:val="clear" w:color="auto" w:fill="EFEDE8"/>
            <w:tcBorders>
              <w:bottom w:val="single" w:sz="6" w:color="1D2321"/>
            </w:tcBorders>
          </w:tcPr>
          <w:p>
            <w:pPr>
              <w:spacing w:after="20" w:line="240" w:lineRule="auto"/>
            </w:pPr>
            <w:r>
              <w:rPr>
                <w:b/>
                <w:sz w:val="18"/>
              </w:rPr>
              <w:t>Per km</w:t>
            </w:r>
          </w:p>
        </w:tc>
      </w:tr>
      <w:tr>
        <w:tc>
          <w:tcPr>
            <w:tcW w:type="dxa" w:w="1512"/>
          </w:tcPr>
          <w:p>
            <w:pPr>
              <w:spacing w:after="20" w:line="240" w:lineRule="auto"/>
            </w:pPr>
            <w:r>
              <w:rPr>
                <w:sz w:val="18"/>
              </w:rPr>
              <w:t>Northern Bypass (M20)</w:t>
            </w:r>
          </w:p>
        </w:tc>
        <w:tc>
          <w:tcPr>
            <w:tcW w:type="dxa" w:w="1512"/>
          </w:tcPr>
          <w:p>
            <w:pPr>
              <w:spacing w:after="20" w:line="240" w:lineRule="auto"/>
              <w:jc w:val="right"/>
            </w:pPr>
            <w:r>
              <w:rPr>
                <w:sz w:val="18"/>
              </w:rPr>
              <w:t>38.6</w:t>
            </w:r>
          </w:p>
        </w:tc>
        <w:tc>
          <w:tcPr>
            <w:tcW w:type="dxa" w:w="1512"/>
          </w:tcPr>
          <w:p>
            <w:pPr>
              <w:spacing w:after="20" w:line="240" w:lineRule="auto"/>
              <w:jc w:val="right"/>
            </w:pPr>
            <w:r>
              <w:rPr>
                <w:sz w:val="18"/>
              </w:rPr>
              <w:t>104</w:t>
            </w:r>
          </w:p>
        </w:tc>
        <w:tc>
          <w:tcPr>
            <w:tcW w:type="dxa" w:w="1512"/>
          </w:tcPr>
          <w:p>
            <w:pPr>
              <w:spacing w:after="20" w:line="240" w:lineRule="auto"/>
              <w:jc w:val="right"/>
            </w:pPr>
            <w:r>
              <w:rPr>
                <w:sz w:val="18"/>
              </w:rPr>
              <w:t>70</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0.5</w:t>
            </w:r>
          </w:p>
        </w:tc>
      </w:tr>
      <w:tr>
        <w:tc>
          <w:tcPr>
            <w:tcW w:type="dxa" w:w="1512"/>
          </w:tcPr>
          <w:p>
            <w:pPr>
              <w:spacing w:after="20" w:line="240" w:lineRule="auto"/>
            </w:pPr>
            <w:r>
              <w:rPr>
                <w:sz w:val="18"/>
              </w:rPr>
              <w:t>Jinja Road (A1)</w:t>
            </w:r>
          </w:p>
        </w:tc>
        <w:tc>
          <w:tcPr>
            <w:tcW w:type="dxa" w:w="1512"/>
          </w:tcPr>
          <w:p>
            <w:pPr>
              <w:spacing w:after="20" w:line="240" w:lineRule="auto"/>
              <w:jc w:val="right"/>
            </w:pPr>
            <w:r>
              <w:rPr>
                <w:sz w:val="18"/>
              </w:rPr>
              <w:t>25.5</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33</w:t>
            </w:r>
          </w:p>
        </w:tc>
        <w:tc>
          <w:tcPr>
            <w:tcW w:type="dxa" w:w="1512"/>
          </w:tcPr>
          <w:p>
            <w:pPr>
              <w:spacing w:after="20" w:line="240" w:lineRule="auto"/>
              <w:jc w:val="right"/>
            </w:pPr>
            <w:r>
              <w:rPr>
                <w:sz w:val="18"/>
              </w:rPr>
              <w:t>295</w:t>
            </w:r>
          </w:p>
        </w:tc>
        <w:tc>
          <w:tcPr>
            <w:tcW w:type="dxa" w:w="1512"/>
          </w:tcPr>
          <w:p>
            <w:pPr>
              <w:spacing w:after="20" w:line="240" w:lineRule="auto"/>
              <w:jc w:val="right"/>
            </w:pPr>
            <w:r>
              <w:rPr>
                <w:sz w:val="18"/>
              </w:rPr>
              <w:t>11.6</w:t>
            </w:r>
          </w:p>
        </w:tc>
      </w:tr>
      <w:tr>
        <w:tc>
          <w:tcPr>
            <w:tcW w:type="dxa" w:w="1512"/>
          </w:tcPr>
          <w:p>
            <w:pPr>
              <w:spacing w:after="20" w:line="240" w:lineRule="auto"/>
            </w:pPr>
            <w:r>
              <w:rPr>
                <w:sz w:val="18"/>
              </w:rPr>
              <w:t>Masaka Road (A2)</w:t>
            </w:r>
          </w:p>
        </w:tc>
        <w:tc>
          <w:tcPr>
            <w:tcW w:type="dxa" w:w="1512"/>
          </w:tcPr>
          <w:p>
            <w:pPr>
              <w:spacing w:after="20" w:line="240" w:lineRule="auto"/>
              <w:jc w:val="right"/>
            </w:pPr>
            <w:r>
              <w:rPr>
                <w:sz w:val="18"/>
              </w:rPr>
              <w:t>25.4</w:t>
            </w:r>
          </w:p>
        </w:tc>
        <w:tc>
          <w:tcPr>
            <w:tcW w:type="dxa" w:w="1512"/>
          </w:tcPr>
          <w:p>
            <w:pPr>
              <w:spacing w:after="20" w:line="240" w:lineRule="auto"/>
              <w:jc w:val="right"/>
            </w:pPr>
            <w:r>
              <w:rPr>
                <w:sz w:val="18"/>
              </w:rPr>
              <w:t>73</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262</w:t>
            </w:r>
          </w:p>
        </w:tc>
        <w:tc>
          <w:tcPr>
            <w:tcW w:type="dxa" w:w="1512"/>
          </w:tcPr>
          <w:p>
            <w:pPr>
              <w:spacing w:after="20" w:line="240" w:lineRule="auto"/>
              <w:jc w:val="right"/>
            </w:pPr>
            <w:r>
              <w:rPr>
                <w:sz w:val="18"/>
              </w:rPr>
              <w:t>10.3</w:t>
            </w:r>
          </w:p>
        </w:tc>
      </w:tr>
      <w:tr>
        <w:tc>
          <w:tcPr>
            <w:tcW w:type="dxa" w:w="1512"/>
          </w:tcPr>
          <w:p>
            <w:pPr>
              <w:spacing w:after="20" w:line="240" w:lineRule="auto"/>
            </w:pPr>
            <w:r>
              <w:rPr>
                <w:sz w:val="18"/>
              </w:rPr>
              <w:t>Entebbe Road (A3)</w:t>
            </w:r>
          </w:p>
        </w:tc>
        <w:tc>
          <w:tcPr>
            <w:tcW w:type="dxa" w:w="1512"/>
          </w:tcPr>
          <w:p>
            <w:pPr>
              <w:spacing w:after="20" w:line="240" w:lineRule="auto"/>
              <w:jc w:val="right"/>
            </w:pPr>
            <w:r>
              <w:rPr>
                <w:sz w:val="18"/>
              </w:rPr>
              <w:t>23.7</w:t>
            </w:r>
          </w:p>
        </w:tc>
        <w:tc>
          <w:tcPr>
            <w:tcW w:type="dxa" w:w="1512"/>
          </w:tcPr>
          <w:p>
            <w:pPr>
              <w:spacing w:after="20" w:line="240" w:lineRule="auto"/>
              <w:jc w:val="right"/>
            </w:pPr>
            <w:r>
              <w:rPr>
                <w:sz w:val="18"/>
              </w:rPr>
              <w:t>68</w:t>
            </w:r>
          </w:p>
        </w:tc>
        <w:tc>
          <w:tcPr>
            <w:tcW w:type="dxa" w:w="1512"/>
          </w:tcPr>
          <w:p>
            <w:pPr>
              <w:spacing w:after="20" w:line="240" w:lineRule="auto"/>
              <w:jc w:val="right"/>
            </w:pPr>
            <w:r>
              <w:rPr>
                <w:sz w:val="18"/>
              </w:rPr>
              <w:t>39</w:t>
            </w:r>
          </w:p>
        </w:tc>
        <w:tc>
          <w:tcPr>
            <w:tcW w:type="dxa" w:w="1512"/>
          </w:tcPr>
          <w:p>
            <w:pPr>
              <w:spacing w:after="20" w:line="240" w:lineRule="auto"/>
              <w:jc w:val="right"/>
            </w:pPr>
            <w:r>
              <w:rPr>
                <w:sz w:val="18"/>
              </w:rPr>
              <w:t>303</w:t>
            </w:r>
          </w:p>
        </w:tc>
        <w:tc>
          <w:tcPr>
            <w:tcW w:type="dxa" w:w="1512"/>
          </w:tcPr>
          <w:p>
            <w:pPr>
              <w:spacing w:after="20" w:line="240" w:lineRule="auto"/>
              <w:jc w:val="right"/>
            </w:pPr>
            <w:r>
              <w:rPr>
                <w:sz w:val="18"/>
              </w:rPr>
              <w:t>12.8</w:t>
            </w:r>
          </w:p>
        </w:tc>
      </w:tr>
      <w:tr>
        <w:tc>
          <w:tcPr>
            <w:tcW w:type="dxa" w:w="1512"/>
          </w:tcPr>
          <w:p>
            <w:pPr>
              <w:spacing w:after="20" w:line="240" w:lineRule="auto"/>
            </w:pPr>
            <w:r>
              <w:rPr>
                <w:sz w:val="18"/>
              </w:rPr>
              <w:t>Hoima / Nansana Road (A9)</w:t>
            </w:r>
          </w:p>
        </w:tc>
        <w:tc>
          <w:tcPr>
            <w:tcW w:type="dxa" w:w="1512"/>
          </w:tcPr>
          <w:p>
            <w:pPr>
              <w:spacing w:after="20" w:line="240" w:lineRule="auto"/>
              <w:jc w:val="right"/>
            </w:pPr>
            <w:r>
              <w:rPr>
                <w:sz w:val="18"/>
              </w:rPr>
              <w:t>18.4</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31</w:t>
            </w:r>
          </w:p>
        </w:tc>
        <w:tc>
          <w:tcPr>
            <w:tcW w:type="dxa" w:w="1512"/>
          </w:tcPr>
          <w:p>
            <w:pPr>
              <w:spacing w:after="20" w:line="240" w:lineRule="auto"/>
              <w:jc w:val="right"/>
            </w:pPr>
            <w:r>
              <w:rPr>
                <w:sz w:val="18"/>
              </w:rPr>
              <w:t>248</w:t>
            </w:r>
          </w:p>
        </w:tc>
        <w:tc>
          <w:tcPr>
            <w:tcW w:type="dxa" w:w="1512"/>
          </w:tcPr>
          <w:p>
            <w:pPr>
              <w:spacing w:after="20" w:line="240" w:lineRule="auto"/>
              <w:jc w:val="right"/>
            </w:pPr>
            <w:r>
              <w:rPr>
                <w:sz w:val="18"/>
              </w:rPr>
              <w:t>13.5</w:t>
            </w:r>
          </w:p>
        </w:tc>
      </w:tr>
      <w:tr>
        <w:tc>
          <w:tcPr>
            <w:tcW w:type="dxa" w:w="1512"/>
          </w:tcPr>
          <w:p>
            <w:pPr>
              <w:spacing w:after="20" w:line="240" w:lineRule="auto"/>
            </w:pPr>
            <w:r>
              <w:rPr>
                <w:sz w:val="18"/>
              </w:rPr>
              <w:t>Gayaza Road</w:t>
            </w:r>
          </w:p>
        </w:tc>
        <w:tc>
          <w:tcPr>
            <w:tcW w:type="dxa" w:w="1512"/>
          </w:tcPr>
          <w:p>
            <w:pPr>
              <w:spacing w:after="20" w:line="240" w:lineRule="auto"/>
              <w:jc w:val="right"/>
            </w:pPr>
            <w:r>
              <w:rPr>
                <w:sz w:val="18"/>
              </w:rPr>
              <w:t>21.1</w:t>
            </w:r>
          </w:p>
        </w:tc>
        <w:tc>
          <w:tcPr>
            <w:tcW w:type="dxa" w:w="1512"/>
          </w:tcPr>
          <w:p>
            <w:pPr>
              <w:spacing w:after="20" w:line="240" w:lineRule="auto"/>
              <w:jc w:val="right"/>
            </w:pPr>
            <w:r>
              <w:rPr>
                <w:sz w:val="18"/>
              </w:rPr>
              <w:t>65</w:t>
            </w:r>
          </w:p>
        </w:tc>
        <w:tc>
          <w:tcPr>
            <w:tcW w:type="dxa" w:w="1512"/>
          </w:tcPr>
          <w:p>
            <w:pPr>
              <w:spacing w:after="20" w:line="240" w:lineRule="auto"/>
              <w:jc w:val="right"/>
            </w:pPr>
            <w:r>
              <w:rPr>
                <w:sz w:val="18"/>
              </w:rPr>
              <w:t>32</w:t>
            </w:r>
          </w:p>
        </w:tc>
        <w:tc>
          <w:tcPr>
            <w:tcW w:type="dxa" w:w="1512"/>
          </w:tcPr>
          <w:p>
            <w:pPr>
              <w:spacing w:after="20" w:line="240" w:lineRule="auto"/>
              <w:jc w:val="right"/>
            </w:pPr>
            <w:r>
              <w:rPr>
                <w:sz w:val="18"/>
              </w:rPr>
              <w:t>345</w:t>
            </w:r>
          </w:p>
        </w:tc>
        <w:tc>
          <w:tcPr>
            <w:tcW w:type="dxa" w:w="1512"/>
          </w:tcPr>
          <w:p>
            <w:pPr>
              <w:spacing w:after="20" w:line="240" w:lineRule="auto"/>
              <w:jc w:val="right"/>
            </w:pPr>
            <w:r>
              <w:rPr>
                <w:sz w:val="18"/>
              </w:rPr>
              <w:t>16.4</w:t>
            </w:r>
          </w:p>
        </w:tc>
      </w:tr>
      <w:tr>
        <w:tc>
          <w:tcPr>
            <w:tcW w:type="dxa" w:w="1512"/>
          </w:tcPr>
          <w:p>
            <w:pPr>
              <w:spacing w:after="20" w:line="240" w:lineRule="auto"/>
            </w:pPr>
            <w:r>
              <w:rPr>
                <w:sz w:val="18"/>
              </w:rPr>
              <w:t>Gulu / Bombo Road (A6)</w:t>
            </w:r>
          </w:p>
        </w:tc>
        <w:tc>
          <w:tcPr>
            <w:tcW w:type="dxa" w:w="1512"/>
          </w:tcPr>
          <w:p>
            <w:pPr>
              <w:spacing w:after="20" w:line="240" w:lineRule="auto"/>
              <w:jc w:val="right"/>
            </w:pPr>
            <w:r>
              <w:rPr>
                <w:sz w:val="18"/>
              </w:rPr>
              <w:t>12.4</w:t>
            </w:r>
          </w:p>
        </w:tc>
        <w:tc>
          <w:tcPr>
            <w:tcW w:type="dxa" w:w="1512"/>
          </w:tcPr>
          <w:p>
            <w:pPr>
              <w:spacing w:after="20" w:line="240" w:lineRule="auto"/>
              <w:jc w:val="right"/>
            </w:pPr>
            <w:r>
              <w:rPr>
                <w:sz w:val="18"/>
              </w:rPr>
              <w:t>79</w:t>
            </w:r>
          </w:p>
        </w:tc>
        <w:tc>
          <w:tcPr>
            <w:tcW w:type="dxa" w:w="1512"/>
          </w:tcPr>
          <w:p>
            <w:pPr>
              <w:spacing w:after="20" w:line="240" w:lineRule="auto"/>
              <w:jc w:val="right"/>
            </w:pPr>
            <w:r>
              <w:rPr>
                <w:sz w:val="18"/>
              </w:rPr>
              <w:t>35</w:t>
            </w:r>
          </w:p>
        </w:tc>
        <w:tc>
          <w:tcPr>
            <w:tcW w:type="dxa" w:w="1512"/>
          </w:tcPr>
          <w:p>
            <w:pPr>
              <w:spacing w:after="20" w:line="240" w:lineRule="auto"/>
              <w:jc w:val="right"/>
            </w:pPr>
            <w:r>
              <w:rPr>
                <w:sz w:val="18"/>
              </w:rPr>
              <w:t>220</w:t>
            </w:r>
          </w:p>
        </w:tc>
        <w:tc>
          <w:tcPr>
            <w:tcW w:type="dxa" w:w="1512"/>
          </w:tcPr>
          <w:p>
            <w:pPr>
              <w:spacing w:after="20" w:line="240" w:lineRule="auto"/>
              <w:jc w:val="right"/>
            </w:pPr>
            <w:r>
              <w:rPr>
                <w:sz w:val="18"/>
              </w:rPr>
              <w:t>17.7</w:t>
            </w:r>
          </w:p>
        </w:tc>
      </w:tr>
      <w:tr>
        <w:tc>
          <w:tcPr>
            <w:tcW w:type="dxa" w:w="1512"/>
          </w:tcPr>
          <w:p>
            <w:pPr>
              <w:spacing w:after="20" w:line="240" w:lineRule="auto"/>
            </w:pPr>
            <w:r>
              <w:rPr>
                <w:sz w:val="18"/>
              </w:rPr>
              <w:t>Bombo Road, Bwaise</w:t>
            </w:r>
          </w:p>
        </w:tc>
        <w:tc>
          <w:tcPr>
            <w:tcW w:type="dxa" w:w="1512"/>
          </w:tcPr>
          <w:p>
            <w:pPr>
              <w:spacing w:after="20" w:line="240" w:lineRule="auto"/>
              <w:jc w:val="right"/>
            </w:pPr>
            <w:r>
              <w:rPr>
                <w:sz w:val="18"/>
              </w:rPr>
              <w:t>5.6</w:t>
            </w:r>
          </w:p>
        </w:tc>
        <w:tc>
          <w:tcPr>
            <w:tcW w:type="dxa" w:w="1512"/>
          </w:tcPr>
          <w:p>
            <w:pPr>
              <w:spacing w:after="20" w:line="240" w:lineRule="auto"/>
              <w:jc w:val="right"/>
            </w:pPr>
            <w:r>
              <w:rPr>
                <w:sz w:val="18"/>
              </w:rPr>
              <w:t>51</w:t>
            </w:r>
          </w:p>
        </w:tc>
        <w:tc>
          <w:tcPr>
            <w:tcW w:type="dxa" w:w="1512"/>
          </w:tcPr>
          <w:p>
            <w:pPr>
              <w:spacing w:after="20" w:line="240" w:lineRule="auto"/>
              <w:jc w:val="right"/>
            </w:pPr>
            <w:r>
              <w:rPr>
                <w:sz w:val="18"/>
              </w:rPr>
              <w:t>29</w:t>
            </w:r>
          </w:p>
        </w:tc>
        <w:tc>
          <w:tcPr>
            <w:tcW w:type="dxa" w:w="1512"/>
          </w:tcPr>
          <w:p>
            <w:pPr>
              <w:spacing w:after="20" w:line="240" w:lineRule="auto"/>
              <w:jc w:val="right"/>
            </w:pPr>
            <w:r>
              <w:rPr>
                <w:sz w:val="18"/>
              </w:rPr>
              <w:t>210</w:t>
            </w:r>
          </w:p>
        </w:tc>
        <w:tc>
          <w:tcPr>
            <w:tcW w:type="dxa" w:w="1512"/>
          </w:tcPr>
          <w:p>
            <w:pPr>
              <w:spacing w:after="20" w:line="240" w:lineRule="auto"/>
              <w:jc w:val="right"/>
            </w:pPr>
            <w:r>
              <w:rPr>
                <w:sz w:val="18"/>
              </w:rPr>
              <w:t>37.5</w:t>
            </w:r>
          </w:p>
        </w:tc>
      </w:tr>
      <w:tr>
        <w:tc>
          <w:tcPr>
            <w:tcW w:type="dxa" w:w="1512"/>
          </w:tcPr>
          <w:p>
            <w:pPr>
              <w:spacing w:after="20" w:line="240" w:lineRule="auto"/>
            </w:pPr>
            <w:r>
              <w:rPr>
                <w:sz w:val="18"/>
              </w:rPr>
              <w:t>Mbogo Road</w:t>
            </w:r>
          </w:p>
        </w:tc>
        <w:tc>
          <w:tcPr>
            <w:tcW w:type="dxa" w:w="1512"/>
          </w:tcPr>
          <w:p>
            <w:pPr>
              <w:spacing w:after="20" w:line="240" w:lineRule="auto"/>
              <w:jc w:val="right"/>
            </w:pPr>
            <w:r>
              <w:rPr>
                <w:sz w:val="18"/>
              </w:rPr>
              <w:t>9.6</w:t>
            </w:r>
          </w:p>
        </w:tc>
        <w:tc>
          <w:tcPr>
            <w:tcW w:type="dxa" w:w="1512"/>
          </w:tcPr>
          <w:p>
            <w:pPr>
              <w:spacing w:after="20" w:line="240" w:lineRule="auto"/>
              <w:jc w:val="right"/>
            </w:pPr>
            <w:r>
              <w:rPr>
                <w:sz w:val="18"/>
              </w:rPr>
              <w:t>70</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384</w:t>
            </w:r>
          </w:p>
        </w:tc>
        <w:tc>
          <w:tcPr>
            <w:tcW w:type="dxa" w:w="1512"/>
          </w:tcPr>
          <w:p>
            <w:pPr>
              <w:spacing w:after="20" w:line="240" w:lineRule="auto"/>
              <w:jc w:val="right"/>
            </w:pPr>
            <w:r>
              <w:rPr>
                <w:sz w:val="18"/>
              </w:rPr>
              <w:t>40.0</w:t>
            </w:r>
          </w:p>
        </w:tc>
      </w:tr>
    </w:tbl>
    <w:p>
      <w:pPr>
        <w:spacing w:after="80"/>
      </w:pPr>
    </w:p>
    <w:p>
      <w:pPr>
        <w:keepNext/>
        <w:spacing w:after="40"/>
        <w:jc w:val="center"/>
      </w:pPr>
      <w:r>
        <w:drawing>
          <wp:inline xmlns:a="http://schemas.openxmlformats.org/drawingml/2006/main" xmlns:pic="http://schemas.openxmlformats.org/drawingml/2006/picture">
            <wp:extent cx="5760720" cy="3257154"/>
            <wp:docPr id="5" name="Picture 5"/>
            <wp:cNvGraphicFramePr>
              <a:graphicFrameLocks noChangeAspect="1"/>
            </wp:cNvGraphicFramePr>
            <a:graphic>
              <a:graphicData uri="http://schemas.openxmlformats.org/drawingml/2006/picture">
                <pic:pic>
                  <pic:nvPicPr>
                    <pic:cNvPr id="0" name="k06_clearance.png"/>
                    <pic:cNvPicPr/>
                  </pic:nvPicPr>
                  <pic:blipFill>
                    <a:blip r:embed="rId14"/>
                    <a:stretch>
                      <a:fillRect/>
                    </a:stretch>
                  </pic:blipFill>
                  <pic:spPr>
                    <a:xfrm>
                      <a:off x="0" y="0"/>
                      <a:ext cx="5760720" cy="3257154"/>
                    </a:xfrm>
                    <a:prstGeom prst="rect"/>
                  </pic:spPr>
                </pic:pic>
              </a:graphicData>
            </a:graphic>
          </wp:inline>
        </w:drawing>
      </w:r>
    </w:p>
    <w:p>
      <w:pPr>
        <w:pStyle w:val="Caption"/>
      </w:pPr>
      <w:r>
        <w:rPr>
          <w:sz w:val="19"/>
        </w:rPr>
        <w:t>Figure 5. Clear width between building lines every 100 m along the candidates, and buildings inside a 24 m and a 30 m corridor per km.</w:t>
      </w:r>
    </w:p>
    <w:p>
      <w:pPr>
        <w:keepNext/>
        <w:spacing w:after="40"/>
        <w:jc w:val="center"/>
      </w:pPr>
      <w:r>
        <w:drawing>
          <wp:inline xmlns:a="http://schemas.openxmlformats.org/drawingml/2006/main" xmlns:pic="http://schemas.openxmlformats.org/drawingml/2006/picture">
            <wp:extent cx="5760720" cy="4764056"/>
            <wp:docPr id="6" name="Picture 6"/>
            <wp:cNvGraphicFramePr>
              <a:graphicFrameLocks noChangeAspect="1"/>
            </wp:cNvGraphicFramePr>
            <a:graphic>
              <a:graphicData uri="http://schemas.openxmlformats.org/drawingml/2006/picture">
                <pic:pic>
                  <pic:nvPicPr>
                    <pic:cNvPr id="0" name="s03_pinch_points.png"/>
                    <pic:cNvPicPr/>
                  </pic:nvPicPr>
                  <pic:blipFill>
                    <a:blip r:embed="rId15"/>
                    <a:stretch>
                      <a:fillRect/>
                    </a:stretch>
                  </pic:blipFill>
                  <pic:spPr>
                    <a:xfrm>
                      <a:off x="0" y="0"/>
                      <a:ext cx="5760720" cy="4764056"/>
                    </a:xfrm>
                    <a:prstGeom prst="rect"/>
                  </pic:spPr>
                </pic:pic>
              </a:graphicData>
            </a:graphic>
          </wp:inline>
        </w:drawing>
      </w:r>
    </w:p>
    <w:p>
      <w:pPr>
        <w:pStyle w:val="Caption"/>
      </w:pPr>
      <w:r>
        <w:rPr>
          <w:sz w:val="19"/>
        </w:rPr>
        <w:t>Figure 6. Pinch points at street level: building footprints, the 24 m corridor and the buildings inside it, on satellite imagery.</w:t>
      </w:r>
    </w:p>
    <w:p>
      <w:pPr>
        <w:pStyle w:val="Heading2"/>
      </w:pPr>
      <w:r>
        <w:t>5.3 Lines alone</w:t>
      </w:r>
    </w:p>
    <w:p>
      <w:pPr>
        <w:jc w:val="both"/>
      </w:pPr>
      <w:r>
        <w:rPr/>
        <w:t>At the assumed road speeds no line saves time, because a busway at 22 km/h is no faster than minibus taxis at the assumed speeds. When roads run at half the assumed speed, each radial saves 1.7–2.5% of all modelled trip time as BRT (7). Entebbe Road saves the most (2.5%), followed by Nansana–Busunju (2.0%), Masaka (1.9%), Gayaza (1.7%) and Jinja (1.7%). Light rail on the same alignment saves 10–25% more, not enough to change the ranking.</w:t>
      </w:r>
    </w:p>
    <w:p>
      <w:pPr>
        <w:keepNext/>
        <w:spacing w:after="40"/>
        <w:jc w:val="center"/>
      </w:pPr>
      <w:r>
        <w:drawing>
          <wp:inline xmlns:a="http://schemas.openxmlformats.org/drawingml/2006/main" xmlns:pic="http://schemas.openxmlformats.org/drawingml/2006/picture">
            <wp:extent cx="5760720" cy="2783174"/>
            <wp:docPr id="7" name="Picture 7"/>
            <wp:cNvGraphicFramePr>
              <a:graphicFrameLocks noChangeAspect="1"/>
            </wp:cNvGraphicFramePr>
            <a:graphic>
              <a:graphicData uri="http://schemas.openxmlformats.org/drawingml/2006/picture">
                <pic:pic>
                  <pic:nvPicPr>
                    <pic:cNvPr id="0" name="k04_breakeven.png"/>
                    <pic:cNvPicPr/>
                  </pic:nvPicPr>
                  <pic:blipFill>
                    <a:blip r:embed="rId16"/>
                    <a:stretch>
                      <a:fillRect/>
                    </a:stretch>
                  </pic:blipFill>
                  <pic:spPr>
                    <a:xfrm>
                      <a:off x="0" y="0"/>
                      <a:ext cx="5760720" cy="2783174"/>
                    </a:xfrm>
                    <a:prstGeom prst="rect"/>
                  </pic:spPr>
                </pic:pic>
              </a:graphicData>
            </a:graphic>
          </wp:inline>
        </w:drawing>
      </w:r>
    </w:p>
    <w:p>
      <w:pPr>
        <w:pStyle w:val="Caption"/>
      </w:pPr>
      <w:r>
        <w:rPr>
          <w:sz w:val="19"/>
        </w:rPr>
        <w:t>Figure 7. Share of all modelled trip time saved by each line and by the BRT network as roads become more congested.</w:t>
      </w:r>
    </w:p>
    <w:p>
      <w:pPr>
        <w:pStyle w:val="Heading2"/>
      </w:pPr>
      <w:r>
        <w:t>5.4 Networks</w:t>
      </w:r>
    </w:p>
    <w:p>
      <w:pPr>
        <w:jc w:val="both"/>
      </w:pPr>
      <w:r>
        <w:rPr/>
        <w:t xml:space="preserve">The </w:t>
      </w:r>
      <w:r>
        <w:rPr>
          <w:b/>
        </w:rPr>
        <w:t>efficiency network</w:t>
      </w:r>
      <w:r>
        <w:rPr/>
        <w:t xml:space="preserve"> adds, in order: Bombo Road at Bwaise, Hoima/Nansana, Entebbe, Ggaba, Masaka and Gayaza roads, 102 km in all (8). As BRT at central congestion it saves 9.7% of all trip time, four times the best single line, because riders combine lines. It raises the floor area reachable within 45 minutes by 17% on average.</w:t>
      </w:r>
    </w:p>
    <w:p>
      <w:pPr>
        <w:jc w:val="both"/>
      </w:pPr>
      <w:r>
        <w:rPr/>
        <w:t xml:space="preserve">The </w:t>
      </w:r>
      <w:r>
        <w:rPr>
          <w:b/>
        </w:rPr>
        <w:t>equity network</w:t>
      </w:r>
      <w:r>
        <w:rPr/>
        <w:t xml:space="preserve"> chooses the same corridors except Kireka Road in place of Entebbe Road, 82 km in all, and saves 7.3%. The two objectives largely coincide because Kampala's dense small-plot settlement lines its busiest radials.</w:t>
      </w:r>
    </w:p>
    <w:p>
      <w:pPr>
        <w:jc w:val="both"/>
      </w:pPr>
      <w:r>
        <w:rPr/>
        <w:t>The Northern Bypass is not chosen by either: at 40 km/h its general lanes already outrun a busway.</w:t>
      </w:r>
    </w:p>
    <w:p>
      <w:pPr>
        <w:keepNext/>
        <w:spacing w:after="40"/>
        <w:jc w:val="center"/>
      </w:pPr>
      <w:r>
        <w:drawing>
          <wp:inline xmlns:a="http://schemas.openxmlformats.org/drawingml/2006/main" xmlns:pic="http://schemas.openxmlformats.org/drawingml/2006/picture">
            <wp:extent cx="5760720" cy="5048785"/>
            <wp:docPr id="8" name="Picture 8"/>
            <wp:cNvGraphicFramePr>
              <a:graphicFrameLocks noChangeAspect="1"/>
            </wp:cNvGraphicFramePr>
            <a:graphic>
              <a:graphicData uri="http://schemas.openxmlformats.org/drawingml/2006/picture">
                <pic:pic>
                  <pic:nvPicPr>
                    <pic:cNvPr id="0" name="s01_networks_satellite.png"/>
                    <pic:cNvPicPr/>
                  </pic:nvPicPr>
                  <pic:blipFill>
                    <a:blip r:embed="rId17"/>
                    <a:stretch>
                      <a:fillRect/>
                    </a:stretch>
                  </pic:blipFill>
                  <pic:spPr>
                    <a:xfrm>
                      <a:off x="0" y="0"/>
                      <a:ext cx="5760720" cy="5048785"/>
                    </a:xfrm>
                    <a:prstGeom prst="rect"/>
                  </pic:spPr>
                </pic:pic>
              </a:graphicData>
            </a:graphic>
          </wp:inline>
        </w:drawing>
      </w:r>
    </w:p>
    <w:p>
      <w:pPr>
        <w:pStyle w:val="Caption"/>
      </w:pPr>
      <w:r>
        <w:rPr>
          <w:sz w:val="19"/>
        </w:rPr>
        <w:t>Figure 8. The two rapid-transit networks on satellite imagery of Greater Kampala.</w:t>
      </w:r>
    </w:p>
    <w:p>
      <w:pPr>
        <w:pStyle w:val="Heading2"/>
      </w:pPr>
      <w:r>
        <w:t>5.5 Who gains</w:t>
      </w:r>
    </w:p>
    <w:p>
      <w:pPr>
        <w:jc w:val="both"/>
      </w:pPr>
      <w:r>
        <w:rPr/>
        <w:t>With the efficiency BRT network at central congestion, residents of dense small-plot settlement gain the most reachable floor area (+19%; 9, 10). Planned areas gain 18%, peri-urban 14% and rural 11%.</w:t>
      </w:r>
    </w:p>
    <w:p>
      <w:pPr>
        <w:jc w:val="both"/>
      </w:pPr>
      <w:r>
        <w:rPr/>
        <w:t>By distance, homes 10–15 km from the centre gain most (+25%) and homes beyond 20 km only 5%. The Gini coefficient of access does not fall; it rises slightly from 0.470 to 0.477. The network helps the dense core and the radials, while the fringe, where growth is fastest, is left out unless the lines extend to it.</w:t>
      </w:r>
    </w:p>
    <w:p>
      <w:pPr>
        <w:keepNext/>
        <w:spacing w:after="40"/>
        <w:jc w:val="center"/>
      </w:pPr>
      <w:r>
        <w:drawing>
          <wp:inline xmlns:a="http://schemas.openxmlformats.org/drawingml/2006/main" xmlns:pic="http://schemas.openxmlformats.org/drawingml/2006/picture">
            <wp:extent cx="5486400" cy="4709736"/>
            <wp:docPr id="9" name="Picture 9"/>
            <wp:cNvGraphicFramePr>
              <a:graphicFrameLocks noChangeAspect="1"/>
            </wp:cNvGraphicFramePr>
            <a:graphic>
              <a:graphicData uri="http://schemas.openxmlformats.org/drawingml/2006/picture">
                <pic:pic>
                  <pic:nvPicPr>
                    <pic:cNvPr id="0" name="s04_access_gain.png"/>
                    <pic:cNvPicPr/>
                  </pic:nvPicPr>
                  <pic:blipFill>
                    <a:blip r:embed="rId18"/>
                    <a:stretch>
                      <a:fillRect/>
                    </a:stretch>
                  </pic:blipFill>
                  <pic:spPr>
                    <a:xfrm>
                      <a:off x="0" y="0"/>
                      <a:ext cx="5486400" cy="4709736"/>
                    </a:xfrm>
                    <a:prstGeom prst="rect"/>
                  </pic:spPr>
                </pic:pic>
              </a:graphicData>
            </a:graphic>
          </wp:inline>
        </w:drawing>
      </w:r>
    </w:p>
    <w:p>
      <w:pPr>
        <w:pStyle w:val="Caption"/>
      </w:pPr>
      <w:r>
        <w:rPr>
          <w:sz w:val="19"/>
        </w:rPr>
        <w:t>Figure 9. Where access improves with the efficiency BRT network: gain in floor area reachable within 45 minutes by zone.</w:t>
      </w:r>
    </w:p>
    <w:p>
      <w:pPr>
        <w:keepNext/>
        <w:spacing w:after="40"/>
        <w:jc w:val="center"/>
      </w:pPr>
      <w:r>
        <w:drawing>
          <wp:inline xmlns:a="http://schemas.openxmlformats.org/drawingml/2006/main" xmlns:pic="http://schemas.openxmlformats.org/drawingml/2006/picture">
            <wp:extent cx="5760720" cy="4208769"/>
            <wp:docPr id="10" name="Picture 10"/>
            <wp:cNvGraphicFramePr>
              <a:graphicFrameLocks noChangeAspect="1"/>
            </wp:cNvGraphicFramePr>
            <a:graphic>
              <a:graphicData uri="http://schemas.openxmlformats.org/drawingml/2006/picture">
                <pic:pic>
                  <pic:nvPicPr>
                    <pic:cNvPr id="0" name="k10_equity.png"/>
                    <pic:cNvPicPr/>
                  </pic:nvPicPr>
                  <pic:blipFill>
                    <a:blip r:embed="rId19"/>
                    <a:stretch>
                      <a:fillRect/>
                    </a:stretch>
                  </pic:blipFill>
                  <pic:spPr>
                    <a:xfrm>
                      <a:off x="0" y="0"/>
                      <a:ext cx="5760720" cy="4208769"/>
                    </a:xfrm>
                    <a:prstGeom prst="rect"/>
                  </pic:spPr>
                </pic:pic>
              </a:graphicData>
            </a:graphic>
          </wp:inline>
        </w:drawing>
      </w:r>
    </w:p>
    <w:p>
      <w:pPr>
        <w:pStyle w:val="Caption"/>
      </w:pPr>
      <w:r>
        <w:rPr>
          <w:sz w:val="19"/>
        </w:rPr>
        <w:t>Figure 10. Who gains: by land use, by distance, Lorenz curves of access, and each zone's gain against today's access.</w:t>
      </w:r>
    </w:p>
    <w:p>
      <w:pPr>
        <w:pStyle w:val="Heading2"/>
      </w:pPr>
      <w:r>
        <w:t>5.6 Would it pay?</w:t>
      </w:r>
    </w:p>
    <w:p>
      <w:pPr>
        <w:jc w:val="both"/>
      </w:pPr>
      <w:r>
        <w:rPr/>
        <w:t>At central congestion the efficiency BRT network has a benefit–cost ratio of 1.33 (5–95% range 0.65–2.57), above one in 74% of draws (Table 4; 11). Its capital cost, including about 1,500 displaced buildings, is about US$ 1.1 billion at central values. At 1.5 times the assumed travel times it does not pay (0.48); at three times it pays comfortably (3.3).</w:t>
      </w:r>
    </w:p>
    <w:p>
      <w:pPr>
        <w:jc w:val="both"/>
      </w:pPr>
      <w:r>
        <w:rPr/>
        <w:t>The best single lines (Entebbe, Nansana–Busunju) have similar ratios to the network (about 1.5) at much lower cost. They are natural first phases.</w:t>
      </w:r>
    </w:p>
    <w:p>
      <w:pPr>
        <w:jc w:val="both"/>
      </w:pPr>
      <w:r>
        <w:rPr/>
        <w:t>Light rail on the network costs about US$ 3.6 billion. It pays only if roads are three times slower than assumed (benefit–cost ratio 1.1), and then in only 66% of draws.</w:t>
      </w:r>
    </w:p>
    <w:p>
      <w:pPr>
        <w:pStyle w:val="Caption"/>
        <w:keepNext/>
        <w:spacing w:after="60"/>
      </w:pPr>
      <w:r>
        <w:rPr>
          <w:sz w:val="19"/>
        </w:rPr>
        <w:t>Table 4. Benefit–cost ratios (central, 5–95%) and probability of exceeding one.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814"/>
        <w:gridCol w:w="1814"/>
        <w:gridCol w:w="1814"/>
        <w:gridCol w:w="1814"/>
        <w:gridCol w:w="1814"/>
      </w:tblGrid>
      <w:tr>
        <w:tc>
          <w:tcPr>
            <w:tcW w:type="dxa" w:w="1814"/>
            <w:shd w:val="clear" w:color="auto" w:fill="EFEDE8"/>
            <w:tcBorders>
              <w:bottom w:val="single" w:sz="6" w:color="1D2321"/>
            </w:tcBorders>
          </w:tcPr>
          <w:p>
            <w:pPr>
              <w:spacing w:after="20" w:line="240" w:lineRule="auto"/>
            </w:pPr>
            <w:r>
              <w:rPr>
                <w:b/>
                <w:sz w:val="18"/>
              </w:rPr>
              <w:t>Option</w:t>
            </w:r>
          </w:p>
        </w:tc>
        <w:tc>
          <w:tcPr>
            <w:tcW w:type="dxa" w:w="1814"/>
            <w:shd w:val="clear" w:color="auto" w:fill="EFEDE8"/>
            <w:tcBorders>
              <w:bottom w:val="single" w:sz="6" w:color="1D2321"/>
            </w:tcBorders>
          </w:tcPr>
          <w:p>
            <w:pPr>
              <w:spacing w:after="20" w:line="240" w:lineRule="auto"/>
            </w:pPr>
            <w:r>
              <w:rPr>
                <w:b/>
                <w:sz w:val="18"/>
              </w:rPr>
              <w:t>Roads 1.5× slower</w:t>
            </w:r>
          </w:p>
        </w:tc>
        <w:tc>
          <w:tcPr>
            <w:tcW w:type="dxa" w:w="1814"/>
            <w:shd w:val="clear" w:color="auto" w:fill="EFEDE8"/>
            <w:tcBorders>
              <w:bottom w:val="single" w:sz="6" w:color="1D2321"/>
            </w:tcBorders>
          </w:tcPr>
          <w:p>
            <w:pPr>
              <w:spacing w:after="20" w:line="240" w:lineRule="auto"/>
            </w:pPr>
            <w:r>
              <w:rPr>
                <w:b/>
                <w:sz w:val="18"/>
              </w:rPr>
              <w:t>Roads 2× slower</w:t>
            </w:r>
          </w:p>
        </w:tc>
        <w:tc>
          <w:tcPr>
            <w:tcW w:type="dxa" w:w="1814"/>
            <w:shd w:val="clear" w:color="auto" w:fill="EFEDE8"/>
            <w:tcBorders>
              <w:bottom w:val="single" w:sz="6" w:color="1D2321"/>
            </w:tcBorders>
          </w:tcPr>
          <w:p>
            <w:pPr>
              <w:spacing w:after="20" w:line="240" w:lineRule="auto"/>
            </w:pPr>
            <w:r>
              <w:rPr>
                <w:b/>
                <w:sz w:val="18"/>
              </w:rPr>
              <w:t>Roads 3× slower</w:t>
            </w:r>
          </w:p>
        </w:tc>
        <w:tc>
          <w:tcPr>
            <w:tcW w:type="dxa" w:w="1814"/>
            <w:shd w:val="clear" w:color="auto" w:fill="EFEDE8"/>
            <w:tcBorders>
              <w:bottom w:val="single" w:sz="6" w:color="1D2321"/>
            </w:tcBorders>
          </w:tcPr>
          <w:p>
            <w:pPr>
              <w:spacing w:after="20" w:line="240" w:lineRule="auto"/>
            </w:pPr>
            <w:r>
              <w:rPr>
                <w:b/>
                <w:sz w:val="18"/>
              </w:rPr>
              <w:t>P(BCR &gt; 1) at 2×</w:t>
            </w:r>
          </w:p>
        </w:tc>
      </w:tr>
      <w:tr>
        <w:tc>
          <w:tcPr>
            <w:tcW w:type="dxa" w:w="1814"/>
          </w:tcPr>
          <w:p>
            <w:pPr>
              <w:spacing w:after="20" w:line="240" w:lineRule="auto"/>
            </w:pPr>
            <w:r>
              <w:rPr>
                <w:sz w:val="18"/>
              </w:rPr>
              <w:t>Efficiency network, BRT</w:t>
            </w:r>
          </w:p>
        </w:tc>
        <w:tc>
          <w:tcPr>
            <w:tcW w:type="dxa" w:w="1814"/>
          </w:tcPr>
          <w:p>
            <w:pPr>
              <w:spacing w:after="20" w:line="240" w:lineRule="auto"/>
              <w:jc w:val="right"/>
            </w:pPr>
            <w:r>
              <w:rPr>
                <w:sz w:val="18"/>
              </w:rPr>
              <w:t>0.48</w:t>
            </w:r>
          </w:p>
        </w:tc>
        <w:tc>
          <w:tcPr>
            <w:tcW w:type="dxa" w:w="1814"/>
          </w:tcPr>
          <w:p>
            <w:pPr>
              <w:spacing w:after="20" w:line="240" w:lineRule="auto"/>
            </w:pPr>
            <w:r>
              <w:rPr>
                <w:sz w:val="18"/>
              </w:rPr>
              <w:t>1.33 (0.65–2.57)</w:t>
            </w:r>
          </w:p>
        </w:tc>
        <w:tc>
          <w:tcPr>
            <w:tcW w:type="dxa" w:w="1814"/>
          </w:tcPr>
          <w:p>
            <w:pPr>
              <w:spacing w:after="20" w:line="240" w:lineRule="auto"/>
              <w:jc w:val="right"/>
            </w:pPr>
            <w:r>
              <w:rPr>
                <w:sz w:val="18"/>
              </w:rPr>
              <w:t>3.26</w:t>
            </w:r>
          </w:p>
        </w:tc>
        <w:tc>
          <w:tcPr>
            <w:tcW w:type="dxa" w:w="1814"/>
          </w:tcPr>
          <w:p>
            <w:pPr>
              <w:spacing w:after="20" w:line="240" w:lineRule="auto"/>
              <w:jc w:val="right"/>
            </w:pPr>
            <w:r>
              <w:rPr>
                <w:sz w:val="18"/>
              </w:rPr>
              <w:t>74%</w:t>
            </w:r>
          </w:p>
        </w:tc>
      </w:tr>
      <w:tr>
        <w:tc>
          <w:tcPr>
            <w:tcW w:type="dxa" w:w="1814"/>
          </w:tcPr>
          <w:p>
            <w:pPr>
              <w:spacing w:after="20" w:line="240" w:lineRule="auto"/>
            </w:pPr>
            <w:r>
              <w:rPr>
                <w:sz w:val="18"/>
              </w:rPr>
              <w:t>Equity network, BRT</w:t>
            </w:r>
          </w:p>
        </w:tc>
        <w:tc>
          <w:tcPr>
            <w:tcW w:type="dxa" w:w="1814"/>
          </w:tcPr>
          <w:p>
            <w:pPr>
              <w:spacing w:after="20" w:line="240" w:lineRule="auto"/>
              <w:jc w:val="right"/>
            </w:pPr>
            <w:r>
              <w:rPr>
                <w:sz w:val="18"/>
              </w:rPr>
              <w:t>0.42</w:t>
            </w:r>
          </w:p>
        </w:tc>
        <w:tc>
          <w:tcPr>
            <w:tcW w:type="dxa" w:w="1814"/>
          </w:tcPr>
          <w:p>
            <w:pPr>
              <w:spacing w:after="20" w:line="240" w:lineRule="auto"/>
            </w:pPr>
            <w:r>
              <w:rPr>
                <w:sz w:val="18"/>
              </w:rPr>
              <w:t>1.21 (0.60–2.31)</w:t>
            </w:r>
          </w:p>
        </w:tc>
        <w:tc>
          <w:tcPr>
            <w:tcW w:type="dxa" w:w="1814"/>
          </w:tcPr>
          <w:p>
            <w:pPr>
              <w:spacing w:after="20" w:line="240" w:lineRule="auto"/>
              <w:jc w:val="right"/>
            </w:pPr>
            <w:r>
              <w:rPr>
                <w:sz w:val="18"/>
              </w:rPr>
              <w:t>3.04</w:t>
            </w:r>
          </w:p>
        </w:tc>
        <w:tc>
          <w:tcPr>
            <w:tcW w:type="dxa" w:w="1814"/>
          </w:tcPr>
          <w:p>
            <w:pPr>
              <w:spacing w:after="20" w:line="240" w:lineRule="auto"/>
              <w:jc w:val="right"/>
            </w:pPr>
            <w:r>
              <w:rPr>
                <w:sz w:val="18"/>
              </w:rPr>
              <w:t>67%</w:t>
            </w:r>
          </w:p>
        </w:tc>
      </w:tr>
      <w:tr>
        <w:tc>
          <w:tcPr>
            <w:tcW w:type="dxa" w:w="1814"/>
          </w:tcPr>
          <w:p>
            <w:pPr>
              <w:spacing w:after="20" w:line="240" w:lineRule="auto"/>
            </w:pPr>
            <w:r>
              <w:rPr>
                <w:sz w:val="18"/>
              </w:rPr>
              <w:t>Efficiency network, light rail</w:t>
            </w:r>
          </w:p>
        </w:tc>
        <w:tc>
          <w:tcPr>
            <w:tcW w:type="dxa" w:w="1814"/>
          </w:tcPr>
          <w:p>
            <w:pPr>
              <w:spacing w:after="20" w:line="240" w:lineRule="auto"/>
              <w:jc w:val="right"/>
            </w:pPr>
            <w:r>
              <w:rPr>
                <w:sz w:val="18"/>
              </w:rPr>
              <w:t>0.23</w:t>
            </w:r>
          </w:p>
        </w:tc>
        <w:tc>
          <w:tcPr>
            <w:tcW w:type="dxa" w:w="1814"/>
          </w:tcPr>
          <w:p>
            <w:pPr>
              <w:spacing w:after="20" w:line="240" w:lineRule="auto"/>
            </w:pPr>
            <w:r>
              <w:rPr>
                <w:sz w:val="18"/>
              </w:rPr>
              <w:t>0.50 (0.27–1.08)</w:t>
            </w:r>
          </w:p>
        </w:tc>
        <w:tc>
          <w:tcPr>
            <w:tcW w:type="dxa" w:w="1814"/>
          </w:tcPr>
          <w:p>
            <w:pPr>
              <w:spacing w:after="20" w:line="240" w:lineRule="auto"/>
              <w:jc w:val="right"/>
            </w:pPr>
            <w:r>
              <w:rPr>
                <w:sz w:val="18"/>
              </w:rPr>
              <w:t>1.11</w:t>
            </w:r>
          </w:p>
        </w:tc>
        <w:tc>
          <w:tcPr>
            <w:tcW w:type="dxa" w:w="1814"/>
          </w:tcPr>
          <w:p>
            <w:pPr>
              <w:spacing w:after="20" w:line="240" w:lineRule="auto"/>
              <w:jc w:val="right"/>
            </w:pPr>
            <w:r>
              <w:rPr>
                <w:sz w:val="18"/>
              </w:rPr>
              <w:t>7%</w:t>
            </w:r>
          </w:p>
        </w:tc>
      </w:tr>
      <w:tr>
        <w:tc>
          <w:tcPr>
            <w:tcW w:type="dxa" w:w="1814"/>
          </w:tcPr>
          <w:p>
            <w:pPr>
              <w:spacing w:after="20" w:line="240" w:lineRule="auto"/>
            </w:pPr>
            <w:r>
              <w:rPr>
                <w:sz w:val="18"/>
              </w:rPr>
              <w:t>Entebbe Road alone, BRT</w:t>
            </w:r>
          </w:p>
        </w:tc>
        <w:tc>
          <w:tcPr>
            <w:tcW w:type="dxa" w:w="1814"/>
          </w:tcPr>
          <w:p>
            <w:pPr>
              <w:spacing w:after="20" w:line="240" w:lineRule="auto"/>
              <w:jc w:val="right"/>
            </w:pPr>
            <w:r>
              <w:rPr>
                <w:sz w:val="18"/>
              </w:rPr>
              <w:t>0.59</w:t>
            </w:r>
          </w:p>
        </w:tc>
        <w:tc>
          <w:tcPr>
            <w:tcW w:type="dxa" w:w="1814"/>
          </w:tcPr>
          <w:p>
            <w:pPr>
              <w:spacing w:after="20" w:line="240" w:lineRule="auto"/>
            </w:pPr>
            <w:r>
              <w:rPr>
                <w:sz w:val="18"/>
              </w:rPr>
              <w:t>1.47 (0.72–2.84)</w:t>
            </w:r>
          </w:p>
        </w:tc>
        <w:tc>
          <w:tcPr>
            <w:tcW w:type="dxa" w:w="1814"/>
          </w:tcPr>
          <w:p>
            <w:pPr>
              <w:spacing w:after="20" w:line="240" w:lineRule="auto"/>
              <w:jc w:val="right"/>
            </w:pPr>
            <w:r>
              <w:rPr>
                <w:sz w:val="18"/>
              </w:rPr>
              <w:t>3.43</w:t>
            </w:r>
          </w:p>
        </w:tc>
        <w:tc>
          <w:tcPr>
            <w:tcW w:type="dxa" w:w="1814"/>
          </w:tcPr>
          <w:p>
            <w:pPr>
              <w:spacing w:after="20" w:line="240" w:lineRule="auto"/>
              <w:jc w:val="right"/>
            </w:pPr>
            <w:r>
              <w:rPr>
                <w:sz w:val="18"/>
              </w:rPr>
              <w:t>81%</w:t>
            </w:r>
          </w:p>
        </w:tc>
      </w:tr>
      <w:tr>
        <w:tc>
          <w:tcPr>
            <w:tcW w:type="dxa" w:w="1814"/>
          </w:tcPr>
          <w:p>
            <w:pPr>
              <w:spacing w:after="20" w:line="240" w:lineRule="auto"/>
            </w:pPr>
            <w:r>
              <w:rPr>
                <w:sz w:val="18"/>
              </w:rPr>
              <w:t>Nansana–Busunju Road alone, BRT</w:t>
            </w:r>
          </w:p>
        </w:tc>
        <w:tc>
          <w:tcPr>
            <w:tcW w:type="dxa" w:w="1814"/>
          </w:tcPr>
          <w:p>
            <w:pPr>
              <w:spacing w:after="20" w:line="240" w:lineRule="auto"/>
              <w:jc w:val="right"/>
            </w:pPr>
            <w:r>
              <w:rPr>
                <w:sz w:val="18"/>
              </w:rPr>
              <w:t>0.58</w:t>
            </w:r>
          </w:p>
        </w:tc>
        <w:tc>
          <w:tcPr>
            <w:tcW w:type="dxa" w:w="1814"/>
          </w:tcPr>
          <w:p>
            <w:pPr>
              <w:spacing w:after="20" w:line="240" w:lineRule="auto"/>
            </w:pPr>
            <w:r>
              <w:rPr>
                <w:sz w:val="18"/>
              </w:rPr>
              <w:t>1.54 (0.76–2.97)</w:t>
            </w:r>
          </w:p>
        </w:tc>
        <w:tc>
          <w:tcPr>
            <w:tcW w:type="dxa" w:w="1814"/>
          </w:tcPr>
          <w:p>
            <w:pPr>
              <w:spacing w:after="20" w:line="240" w:lineRule="auto"/>
              <w:jc w:val="right"/>
            </w:pPr>
            <w:r>
              <w:rPr>
                <w:sz w:val="18"/>
              </w:rPr>
              <w:t>3.58</w:t>
            </w:r>
          </w:p>
        </w:tc>
        <w:tc>
          <w:tcPr>
            <w:tcW w:type="dxa" w:w="1814"/>
          </w:tcPr>
          <w:p>
            <w:pPr>
              <w:spacing w:after="20" w:line="240" w:lineRule="auto"/>
              <w:jc w:val="right"/>
            </w:pPr>
            <w:r>
              <w:rPr>
                <w:sz w:val="18"/>
              </w:rPr>
              <w:t>84%</w:t>
            </w:r>
          </w:p>
        </w:tc>
      </w:tr>
    </w:tbl>
    <w:p>
      <w:pPr>
        <w:spacing w:after="80"/>
      </w:pPr>
    </w:p>
    <w:p>
      <w:pPr>
        <w:keepNext/>
        <w:spacing w:after="40"/>
        <w:jc w:val="center"/>
      </w:pPr>
      <w:r>
        <w:drawing>
          <wp:inline xmlns:a="http://schemas.openxmlformats.org/drawingml/2006/main" xmlns:pic="http://schemas.openxmlformats.org/drawingml/2006/picture">
            <wp:extent cx="5760720" cy="2750159"/>
            <wp:docPr id="11" name="Picture 11"/>
            <wp:cNvGraphicFramePr>
              <a:graphicFrameLocks noChangeAspect="1"/>
            </wp:cNvGraphicFramePr>
            <a:graphic>
              <a:graphicData uri="http://schemas.openxmlformats.org/drawingml/2006/picture">
                <pic:pic>
                  <pic:nvPicPr>
                    <pic:cNvPr id="0" name="k12_appraisal.png"/>
                    <pic:cNvPicPr/>
                  </pic:nvPicPr>
                  <pic:blipFill>
                    <a:blip r:embed="rId20"/>
                    <a:stretch>
                      <a:fillRect/>
                    </a:stretch>
                  </pic:blipFill>
                  <pic:spPr>
                    <a:xfrm>
                      <a:off x="0" y="0"/>
                      <a:ext cx="5760720" cy="2750159"/>
                    </a:xfrm>
                    <a:prstGeom prst="rect"/>
                  </pic:spPr>
                </pic:pic>
              </a:graphicData>
            </a:graphic>
          </wp:inline>
        </w:drawing>
      </w:r>
    </w:p>
    <w:p>
      <w:pPr>
        <w:pStyle w:val="Caption"/>
      </w:pPr>
      <w:r>
        <w:rPr>
          <w:sz w:val="19"/>
        </w:rPr>
        <w:t>Figure 11. Benefit–cost ratios with 5–95% ranges, by congestion level.</w:t>
      </w:r>
    </w:p>
    <w:p>
      <w:pPr>
        <w:pStyle w:val="Heading1"/>
      </w:pPr>
      <w:r>
        <w:t>6. Discussion</w:t>
      </w:r>
    </w:p>
    <w:p>
      <w:pPr>
        <w:pStyle w:val="Heading2"/>
      </w:pPr>
      <w:r>
        <w:t>6.1 Congestion decides; measure it</w:t>
      </w:r>
    </w:p>
    <w:p>
      <w:pPr>
        <w:jc w:val="both"/>
      </w:pPr>
      <w:r>
        <w:rPr/>
        <w:t>The case for rapid transit in Kampala rests on one number the city does not have: how slow its arterials are at peak. Below about 1.8 times the assumed travel times, no option pays; above about 2 times, a BRT network does. Rather than assume that number, the paper locates the threshold. That turns an unanswerable appraisal question into a cheap empirical one. A few weeks of GPS traces from minibus or ride-hailing fleets would settle it.</w:t>
      </w:r>
    </w:p>
    <w:p>
      <w:pPr>
        <w:pStyle w:val="Heading2"/>
      </w:pPr>
      <w:r>
        <w:t>6.2 Networks, not lines; BRT, not light rail</w:t>
      </w:r>
    </w:p>
    <w:p>
      <w:pPr>
        <w:jc w:val="both"/>
      </w:pPr>
      <w:r>
        <w:rPr/>
        <w:t>The network roughly triples to quadruples what its lines save alone, because travellers transfer between them. Appraising corridors one at a time, as feasibility studies usually do, understates the case. Light rail adds 10–25% to the time saved at three to four times the cost. At Kampala's demand and incomes, BRT is the technology to plan for. Light rail becomes worth considering only on the alignments where a BRT later reaches capacity.</w:t>
      </w:r>
    </w:p>
    <w:p>
      <w:pPr>
        <w:pStyle w:val="Heading2"/>
      </w:pPr>
      <w:r>
        <w:t>6.3 The roadside decides where it fits, and who pays</w:t>
      </w:r>
    </w:p>
    <w:p>
      <w:pPr>
        <w:jc w:val="both"/>
      </w:pPr>
      <w:r>
        <w:rPr/>
        <w:t>Space is less binding than often assumed. The main radials offer a 24 m corridor along almost their whole length at a cost of 10–14 buildings per km, mostly in planned areas. The pinch points are few, known and mapped: Bwaise, Kireka, Mbogo Road and short urban stretches. There, the buildings in the way stand mainly in dense small-plot settlement and wetland, where residents are least able to absorb displacement. Footprint-based clearance lets these burdens be counted, and alternatives such as kerbside lanes, one-way pairs or elevated sections be considered, before design rather than after.</w:t>
      </w:r>
    </w:p>
    <w:p>
      <w:pPr>
        <w:pStyle w:val="Heading2"/>
      </w:pPr>
      <w:r>
        <w:t>6.4 Equity: help for the dense core, not the fringe</w:t>
      </w:r>
    </w:p>
    <w:p>
      <w:pPr>
        <w:jc w:val="both"/>
      </w:pPr>
      <w:r>
        <w:rPr/>
        <w:t>Residents of dense small-plot settlement gain most in relative terms, but access as a whole does not become more equal. The greatest unmet need is at the fringe beyond 20 km, where the city is growing fastest. Trunk lines reach the fringe only if they extend there. Feeder services, run by the minibus taxi industry, could carry the trunk lines' benefits to the fringe. Designing for equity changes the network only at the margin in Kampala, because the busiest corridors already serve the densest settlement.</w:t>
      </w:r>
    </w:p>
    <w:p>
      <w:pPr>
        <w:pStyle w:val="Heading2"/>
      </w:pPr>
      <w:r>
        <w:t>6.5 What machine learning adds</w:t>
      </w:r>
    </w:p>
    <w:p>
      <w:pPr>
        <w:jc w:val="both"/>
      </w:pPr>
      <w:r>
        <w:rPr/>
        <w:t>The random forest adds land-use labels where OpenStreetMap has none, and it shows that the imagery carries more of the signal than building form. Unsupervised clustering found the dense small-plot pattern on its own, which supports the rule-based classes. Neither replaces ground truth on tenure or income. Together they make a city-wide first map of who lives at the roadside, from data any city can obtain.</w:t>
      </w:r>
    </w:p>
    <w:p>
      <w:pPr>
        <w:pStyle w:val="Heading1"/>
      </w:pPr>
      <w:r>
        <w:t>7. Limitations</w:t>
      </w:r>
    </w:p>
    <w:p>
      <w:pPr>
        <w:pStyle w:val="ListBullet"/>
        <w:spacing w:after="40"/>
      </w:pPr>
      <w:r>
        <w:rPr>
          <w:b/>
        </w:rPr>
        <w:t>No speed data.</w:t>
      </w:r>
      <w:r>
        <w:rPr/>
        <w:t xml:space="preserve"> Speeds are assumptions shaped by roadside friction, so congestion is swept, not measured.</w:t>
      </w:r>
    </w:p>
    <w:p>
      <w:pPr>
        <w:pStyle w:val="ListBullet"/>
        <w:spacing w:after="40"/>
      </w:pPr>
      <w:r>
        <w:rPr>
          <w:b/>
        </w:rPr>
        <w:t>Demand is a gravity index, held fixed.</w:t>
      </w:r>
      <w:r>
        <w:rPr/>
        <w:t xml:space="preserve"> It is not a survey, and no mode shift or induced demand is modelled. Benefits count travel time only.</w:t>
      </w:r>
    </w:p>
    <w:p>
      <w:pPr>
        <w:pStyle w:val="ListBullet"/>
        <w:spacing w:after="40"/>
      </w:pPr>
      <w:r>
        <w:rPr>
          <w:b/>
        </w:rPr>
        <w:t>Land-use classes reflect building form and imagery,</w:t>
      </w:r>
      <w:r>
        <w:rPr/>
        <w:t xml:space="preserve"> not tenure or income. Institutional land is poorly predicted, with few labels.</w:t>
      </w:r>
    </w:p>
    <w:p>
      <w:pPr>
        <w:pStyle w:val="ListBullet"/>
        <w:spacing w:after="40"/>
      </w:pPr>
      <w:r>
        <w:rPr>
          <w:b/>
        </w:rPr>
        <w:t>Clear width ignores walls, utilities, drainage and land ownership;</w:t>
      </w:r>
      <w:r>
        <w:rPr/>
        <w:t xml:space="preserve"> footprints date from 2020–22.</w:t>
      </w:r>
    </w:p>
    <w:p>
      <w:pPr>
        <w:pStyle w:val="ListBullet"/>
        <w:spacing w:after="40"/>
      </w:pPr>
      <w:r>
        <w:rPr>
          <w:b/>
        </w:rPr>
        <w:t>Costs are generic ranges,</w:t>
      </w:r>
      <w:r>
        <w:rPr/>
        <w:t xml:space="preserve"> not Kampala-specific estimates. Paratransit reorganisation, a central issue for BRT in African cities, is outside the model.</w:t>
      </w:r>
    </w:p>
    <w:p>
      <w:pPr>
        <w:pStyle w:val="Heading1"/>
      </w:pPr>
      <w:r>
        <w:t>8. Conclusion</w:t>
      </w:r>
    </w:p>
    <w:p>
      <w:pPr>
        <w:jc w:val="both"/>
      </w:pPr>
      <w:r>
        <w:rPr/>
        <w:t>Measured from space, Kampala's roads have more room for rapid transit than their crowded frontages suggest. The main radials could host a busway at the cost of roughly a dozen buildings per km, and a 100 km BRT network would pay if the roads are at least about twice as slow at peak as assumed here. The pinch points, where a corridor would cut through dense small-plot settlement and wetland, are few and can now be mapped before a line is drawn.</w:t>
      </w:r>
    </w:p>
    <w:p>
      <w:pPr>
        <w:jc w:val="both"/>
      </w:pPr>
      <w:r>
        <w:rPr/>
        <w:t>Light rail does not pay at Kampala's demand. Lines should be appraised as networks. Equity requires reaching the fringe, not only the core. The method rests on building footprints, satellite imagery and open data, so any city that lacks traffic data and a cadastre can apply it.</w:t>
      </w:r>
    </w:p>
    <w:p>
      <w:pPr>
        <w:pStyle w:val="Heading1"/>
      </w:pPr>
      <w:r>
        <w:t>Data and code availability</w:t>
      </w:r>
    </w:p>
    <w:p>
      <w:pPr>
        <w:jc w:val="both"/>
      </w:pPr>
      <w:r>
        <w:rPr/>
        <w:t>All code, derived tables and figures are at https://github.com/gavacharles/uganda-trade-corridors (folder kampala-transit).</w:t>
      </w:r>
    </w:p>
    <w:p>
      <w:pPr>
        <w:pStyle w:val="Heading1"/>
      </w:pPr>
      <w:r>
        <w:t>References</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Behrens, R., McCormick, D., Mfinanga, D. (Eds.), 2016. Paratransit in African Cities: Operations, Regulation and Reform. Routledge, London.</w:t>
      </w:r>
    </w:p>
    <w:p>
      <w:pPr>
        <w:spacing w:after="60"/>
        <w:ind w:left="454" w:hanging="454"/>
      </w:pPr>
      <w:r>
        <w:rPr>
          <w:sz w:val="20"/>
        </w:rPr>
        <w:t>Cervero, R., 2013. Bus Rapid Transit (BRT): An Efficient and Competitive Mode of Public Transport. IURD Working Paper 2013-01, University of California, Berkeley.</w:t>
      </w:r>
    </w:p>
    <w:p>
      <w:pPr>
        <w:spacing w:after="60"/>
        <w:ind w:left="454" w:hanging="454"/>
      </w:pPr>
      <w:r>
        <w:rPr>
          <w:sz w:val="20"/>
        </w:rPr>
        <w:t>Deng, T., Nelson, J.D., 2011. Recent developments in bus rapid transit: a review of the literature. Transport Reviews 31(1), 69–96.</w:t>
      </w:r>
    </w:p>
    <w:p>
      <w:pPr>
        <w:spacing w:after="60"/>
        <w:ind w:left="454" w:hanging="454"/>
      </w:pPr>
      <w:r>
        <w:rPr>
          <w:sz w:val="20"/>
        </w:rPr>
        <w:t>Flyvbjerg, B., Bruzelius, N., van Wee, B., 2008. Comparison of capital costs per route-kilometre in urban rail. European Journal of Transport and Infrastructure Research 8(1), 17–30.</w:t>
      </w:r>
    </w:p>
    <w:p>
      <w:pPr>
        <w:spacing w:after="60"/>
        <w:ind w:left="454" w:hanging="454"/>
      </w:pPr>
      <w:r>
        <w:rPr>
          <w:sz w:val="20"/>
        </w:rPr>
        <w:t>Gava, C., 2026. Highways that became high streets: roadside settlement, controls and the cost of delay on Uganda's five trade corridors. Working paper.</w:t>
      </w:r>
    </w:p>
    <w:p>
      <w:pPr>
        <w:spacing w:after="60"/>
        <w:ind w:left="454" w:hanging="454"/>
      </w:pPr>
      <w:r>
        <w:rPr>
          <w:sz w:val="20"/>
        </w:rPr>
        <w:t>Geurs, K.T., van Wee, B., 2004. Accessibility evaluation of land-use and transport strategies: review and research directions. Journal of Transport Geography 12(2), 127–140.</w:t>
      </w:r>
    </w:p>
    <w:p>
      <w:pPr>
        <w:spacing w:after="60"/>
        <w:ind w:left="454" w:hanging="454"/>
      </w:pPr>
      <w:r>
        <w:rPr>
          <w:sz w:val="20"/>
        </w:rPr>
        <w:t>Hidalgo, D., Gutiérrez, L., 2013. BRT and BHLS around the world: explosive growth, large positive impacts and many issues outstanding. Research in Transportation Economics 39(1), 8–13.</w:t>
      </w:r>
    </w:p>
    <w:p>
      <w:pPr>
        <w:spacing w:after="60"/>
        <w:ind w:left="454" w:hanging="454"/>
      </w:pPr>
      <w:r>
        <w:rPr>
          <w:sz w:val="20"/>
        </w:rPr>
        <w:t>ITDP, 2017. The BRT Planning Guide, 4th edition. Institute for Transportation and Development Policy, New York.</w:t>
      </w:r>
    </w:p>
    <w:p>
      <w:pPr>
        <w:spacing w:after="60"/>
        <w:ind w:left="454" w:hanging="454"/>
      </w:pPr>
      <w:r>
        <w:rPr>
          <w:sz w:val="20"/>
        </w:rPr>
        <w:t>Kuffer, M., Pfeffer, K., Sliuzas, R., 2016. Slums from space—15 years of slum mapping using remote sensing. Remote Sensing 8(6), 455.</w:t>
      </w:r>
    </w:p>
    <w:p>
      <w:pPr>
        <w:spacing w:after="60"/>
        <w:ind w:left="454" w:hanging="454"/>
      </w:pPr>
      <w:r>
        <w:rPr>
          <w:sz w:val="20"/>
        </w:rPr>
        <w:t>Kumar, A., Zimmerman, S., Arroyo-Arroyo, F., 2021. Myths and Realities of "Informal" Public Transport in Developing Countries: Approaches for Improving the Sector. SSATP, World Bank, Washington, DC.</w:t>
      </w:r>
    </w:p>
    <w:p>
      <w:pPr>
        <w:spacing w:after="60"/>
        <w:ind w:left="454" w:hanging="454"/>
      </w:pPr>
      <w:r>
        <w:rPr>
          <w:sz w:val="20"/>
        </w:rPr>
        <w:t>Lucas, K., 2012. Transport and social exclusion: where are we now? Transport Policy 20, 105–113.</w:t>
      </w:r>
    </w:p>
    <w:p>
      <w:pPr>
        <w:spacing w:after="60"/>
        <w:ind w:left="454" w:hanging="454"/>
      </w:pPr>
      <w:r>
        <w:rPr>
          <w:sz w:val="20"/>
        </w:rPr>
        <w:t>Martens, K., 2017. Transport Justice: Designing Fair Transportation Systems. Routledge, New York.</w:t>
      </w:r>
    </w:p>
    <w:p>
      <w:pPr>
        <w:spacing w:after="60"/>
        <w:ind w:left="454" w:hanging="454"/>
      </w:pPr>
      <w:r>
        <w:rPr>
          <w:sz w:val="20"/>
        </w:rPr>
        <w:t>Pereira, R.H.M., Schwanen, T., Banister, D., 2017. Distributive justice and equity in transportation. Transport Reviews 37(2), 170–191.</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Rizzo, M., 2017. Taken for a Ride: Grounding Neoliberalism, Precarious Labour, and Public Transport in an African Metropolis. Oxford University Press, Oxford.</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Tatem, A.J., 2017. WorldPop, open data for spatial demography. Scientific Data 4, 170004.</w:t>
      </w:r>
    </w:p>
    <w:p>
      <w:pPr>
        <w:spacing w:after="60"/>
        <w:ind w:left="454" w:hanging="454"/>
      </w:pPr>
      <w:r>
        <w:rPr>
          <w:sz w:val="20"/>
        </w:rPr>
        <w:t>Venter, C., Mahendra, A., Hidalgo, D., 2019. From Mobility to Access for All: Expanding Urban Transportation Choices in the Global South. World Resources Institute, Washington, DC.</w:t>
      </w:r>
    </w:p>
    <w:p>
      <w:pPr>
        <w:spacing w:after="60"/>
        <w:ind w:left="454" w:hanging="454"/>
      </w:pPr>
      <w:r>
        <w:rPr>
          <w:sz w:val="20"/>
        </w:rPr>
        <w:t>Wurm, M., Stark, T., Zhu, X.X., Weigand, M., Taubenböck, H., 2019. Semantic segmentation of slums in satellite images using transfer learning on fully convolutional neural networks. ISPRS Journal of Photogrammetry and Remote Sensing 150, 59–69.</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