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B58C" w14:textId="77777777" w:rsidR="00761594" w:rsidRDefault="00000000">
      <w:pPr>
        <w:rPr>
          <w:rFonts w:ascii="Calibri" w:eastAsia="Calibri" w:hAnsi="Calibri" w:cs="Calibri"/>
        </w:rPr>
      </w:pPr>
      <w:r>
        <w:rPr>
          <w:rFonts w:ascii="Calibri" w:eastAsia="Calibri" w:hAnsi="Calibri" w:cs="Calibri"/>
          <w:b/>
        </w:rPr>
        <w:t>Title:  Costs and constraints of cellular Immune activity during development in blue monkeys</w:t>
      </w:r>
    </w:p>
    <w:p w14:paraId="1BB67003" w14:textId="77777777" w:rsidR="00761594" w:rsidRDefault="00761594">
      <w:pPr>
        <w:rPr>
          <w:rFonts w:ascii="Calibri" w:eastAsia="Calibri" w:hAnsi="Calibri" w:cs="Calibri"/>
          <w:b/>
        </w:rPr>
      </w:pPr>
    </w:p>
    <w:p w14:paraId="40F3E6C0" w14:textId="7EC6FDF7" w:rsidR="00761594" w:rsidRDefault="00000000">
      <w:pPr>
        <w:rPr>
          <w:rFonts w:ascii="Calibri" w:eastAsia="Calibri" w:hAnsi="Calibri" w:cs="Calibri"/>
          <w:b/>
        </w:rPr>
      </w:pPr>
      <w:r>
        <w:rPr>
          <w:rFonts w:ascii="Calibri" w:eastAsia="Calibri" w:hAnsi="Calibri" w:cs="Calibri"/>
          <w:b/>
        </w:rPr>
        <w:t xml:space="preserve">Abstract: </w:t>
      </w:r>
      <w:r>
        <w:rPr>
          <w:rFonts w:ascii="Calibri" w:eastAsia="Calibri" w:hAnsi="Calibri" w:cs="Calibri"/>
          <w:color w:val="212529"/>
          <w:highlight w:val="white"/>
        </w:rPr>
        <w:t xml:space="preserve">Activities of the immune system are energetically costly. </w:t>
      </w:r>
      <w:r>
        <w:rPr>
          <w:rFonts w:ascii="Calibri" w:eastAsia="Calibri" w:hAnsi="Calibri" w:cs="Calibri"/>
        </w:rPr>
        <w:t xml:space="preserve">During development, life history theory predicts that investment in immunity must be balanced with the demands of physical growth. </w:t>
      </w:r>
      <w:r>
        <w:rPr>
          <w:rFonts w:ascii="Calibri" w:eastAsia="Calibri" w:hAnsi="Calibri" w:cs="Calibri"/>
          <w:color w:val="212529"/>
        </w:rPr>
        <w:t xml:space="preserve">In this study, we examined the potential energetic costs and limitations </w:t>
      </w:r>
      <w:r>
        <w:rPr>
          <w:rFonts w:ascii="Calibri" w:eastAsia="Calibri" w:hAnsi="Calibri" w:cs="Calibri"/>
          <w:color w:val="212529"/>
          <w:highlight w:val="white"/>
        </w:rPr>
        <w:t xml:space="preserve">to cellular immune activity during development, its potential trade-offs with changes in lean body mass at different timescales, and the role played by HPA axis activity in these relationships. To do so we </w:t>
      </w:r>
      <w:r>
        <w:rPr>
          <w:rFonts w:ascii="Calibri" w:eastAsia="Calibri" w:hAnsi="Calibri" w:cs="Calibri"/>
          <w:color w:val="212529"/>
        </w:rPr>
        <w:t xml:space="preserve">combined biomarkers from 620 urine and 627 fecal samples of 41 wild, juvenile blue monkeys (M = 21, F = 20) collected over 8 months with demographic, behavioral, and environmental data. </w:t>
      </w:r>
      <w:r>
        <w:rPr>
          <w:rFonts w:ascii="Calibri" w:eastAsia="Calibri" w:hAnsi="Calibri" w:cs="Calibri"/>
          <w:color w:val="212529"/>
          <w:highlight w:val="white"/>
        </w:rPr>
        <w:t>Cellular immune activity (neopterin) was unrelated to age, sex, maternal rank, or social and environmental factors related to pathogen exposure.</w:t>
      </w:r>
      <w:r>
        <w:rPr>
          <w:rFonts w:ascii="Calibri" w:eastAsia="Calibri" w:hAnsi="Calibri" w:cs="Calibri"/>
          <w:highlight w:val="white"/>
        </w:rPr>
        <w:t xml:space="preserve"> Instead of detracting from energy balance (</w:t>
      </w:r>
      <w:r w:rsidR="002C1B12">
        <w:rPr>
          <w:rFonts w:ascii="Calibri" w:eastAsia="Calibri" w:hAnsi="Calibri" w:cs="Calibri"/>
          <w:highlight w:val="white"/>
        </w:rPr>
        <w:t>C-peptide</w:t>
      </w:r>
      <w:r>
        <w:rPr>
          <w:rFonts w:ascii="Calibri" w:eastAsia="Calibri" w:hAnsi="Calibri" w:cs="Calibri"/>
          <w:highlight w:val="white"/>
        </w:rPr>
        <w:t>) and growth of estimated lean body mass (creatinine-SG residuals), neopterin increased with both energy balance and lean body mass at monthly timescales, suggesting an energetic developmental constraint on juveniles’ cellular immunity. At shorter timescales, higher neopterin did diminish subsequent growth. Constraints were only weakly regulated by HPA activity during low energy states. Our results suggest that cellular immune activity is both costly and limited by body condition in wild developing primates. Further, while immune activity may be prioritized over growth at acute timescales, growth from month to month appears unencumbered by investments in immunity.</w:t>
      </w:r>
    </w:p>
    <w:p w14:paraId="67E82E69" w14:textId="77777777" w:rsidR="00761594" w:rsidRDefault="00761594">
      <w:pPr>
        <w:rPr>
          <w:rFonts w:ascii="Calibri" w:eastAsia="Calibri" w:hAnsi="Calibri" w:cs="Calibri"/>
          <w:b/>
        </w:rPr>
      </w:pPr>
    </w:p>
    <w:p w14:paraId="51496A1B" w14:textId="20F7302D" w:rsidR="00761594" w:rsidRDefault="00000000">
      <w:pPr>
        <w:rPr>
          <w:rFonts w:ascii="Calibri" w:eastAsia="Calibri" w:hAnsi="Calibri" w:cs="Calibri"/>
        </w:rPr>
      </w:pPr>
      <w:r>
        <w:rPr>
          <w:rFonts w:ascii="Calibri" w:eastAsia="Calibri" w:hAnsi="Calibri" w:cs="Calibri"/>
        </w:rPr>
        <w:t>Thompson González, Nicole</w:t>
      </w:r>
      <w:r>
        <w:rPr>
          <w:rFonts w:ascii="Calibri" w:eastAsia="Calibri" w:hAnsi="Calibri" w:cs="Calibri"/>
          <w:vertAlign w:val="superscript"/>
        </w:rPr>
        <w:t>1</w:t>
      </w:r>
      <w:r>
        <w:rPr>
          <w:rFonts w:ascii="Calibri" w:eastAsia="Calibri" w:hAnsi="Calibri" w:cs="Calibri"/>
        </w:rPr>
        <w:t>; Freedb</w:t>
      </w:r>
      <w:r w:rsidR="00C21B3A">
        <w:rPr>
          <w:rFonts w:ascii="Calibri" w:eastAsia="Calibri" w:hAnsi="Calibri" w:cs="Calibri"/>
        </w:rPr>
        <w:t>e</w:t>
      </w:r>
      <w:r>
        <w:rPr>
          <w:rFonts w:ascii="Calibri" w:eastAsia="Calibri" w:hAnsi="Calibri" w:cs="Calibri"/>
        </w:rPr>
        <w:t>rg, Lucia</w:t>
      </w:r>
      <w:r>
        <w:rPr>
          <w:rFonts w:ascii="Calibri" w:eastAsia="Calibri" w:hAnsi="Calibri" w:cs="Calibri"/>
          <w:vertAlign w:val="superscript"/>
        </w:rPr>
        <w:t>1</w:t>
      </w:r>
      <w:r>
        <w:rPr>
          <w:rFonts w:ascii="Calibri" w:eastAsia="Calibri" w:hAnsi="Calibri" w:cs="Calibri"/>
        </w:rPr>
        <w:t>; Higham, James</w:t>
      </w:r>
      <w:r>
        <w:rPr>
          <w:rFonts w:ascii="Calibri" w:eastAsia="Calibri" w:hAnsi="Calibri" w:cs="Calibri"/>
          <w:vertAlign w:val="superscript"/>
        </w:rPr>
        <w:t>2</w:t>
      </w:r>
      <w:r>
        <w:rPr>
          <w:rFonts w:ascii="Calibri" w:eastAsia="Calibri" w:hAnsi="Calibri" w:cs="Calibri"/>
        </w:rPr>
        <w:t>; Vogel, Erin</w:t>
      </w:r>
      <w:r>
        <w:rPr>
          <w:rFonts w:ascii="Calibri" w:eastAsia="Calibri" w:hAnsi="Calibri" w:cs="Calibri"/>
          <w:vertAlign w:val="superscript"/>
        </w:rPr>
        <w:t>3</w:t>
      </w:r>
      <w:r>
        <w:rPr>
          <w:rFonts w:ascii="Calibri" w:eastAsia="Calibri" w:hAnsi="Calibri" w:cs="Calibri"/>
        </w:rPr>
        <w:t>; Cords, Marina</w:t>
      </w:r>
      <w:r>
        <w:rPr>
          <w:rFonts w:ascii="Calibri" w:eastAsia="Calibri" w:hAnsi="Calibri" w:cs="Calibri"/>
          <w:vertAlign w:val="superscript"/>
        </w:rPr>
        <w:t>4</w:t>
      </w:r>
    </w:p>
    <w:p w14:paraId="0878603C" w14:textId="77777777" w:rsidR="00761594" w:rsidRDefault="00761594">
      <w:pPr>
        <w:rPr>
          <w:rFonts w:ascii="Calibri" w:eastAsia="Calibri" w:hAnsi="Calibri" w:cs="Calibri"/>
          <w:b/>
        </w:rPr>
      </w:pPr>
    </w:p>
    <w:p w14:paraId="0D1089C9" w14:textId="77777777" w:rsidR="00761594" w:rsidRDefault="00000000">
      <w:pPr>
        <w:rPr>
          <w:rFonts w:ascii="Calibri" w:eastAsia="Calibri" w:hAnsi="Calibri" w:cs="Calibri"/>
        </w:rPr>
      </w:pPr>
      <w:r>
        <w:rPr>
          <w:rFonts w:ascii="Calibri" w:eastAsia="Calibri" w:hAnsi="Calibri" w:cs="Calibri"/>
          <w:vertAlign w:val="superscript"/>
        </w:rPr>
        <w:t xml:space="preserve">1 </w:t>
      </w:r>
      <w:r>
        <w:rPr>
          <w:rFonts w:ascii="Calibri" w:eastAsia="Calibri" w:hAnsi="Calibri" w:cs="Calibri"/>
        </w:rPr>
        <w:t>Integrative Anthropological Sciences, University of California Santa Barbara</w:t>
      </w:r>
    </w:p>
    <w:p w14:paraId="4E828909" w14:textId="03D712D1" w:rsidR="00761594" w:rsidRDefault="00F246F3">
      <w:pPr>
        <w:rPr>
          <w:rFonts w:ascii="Calibri" w:eastAsia="Calibri" w:hAnsi="Calibri" w:cs="Calibri"/>
        </w:rPr>
      </w:pPr>
      <w:r>
        <w:rPr>
          <w:rFonts w:ascii="Calibri" w:eastAsia="Calibri" w:hAnsi="Calibri" w:cs="Calibri"/>
          <w:vertAlign w:val="superscript"/>
        </w:rPr>
        <w:t>2</w:t>
      </w:r>
      <w:r>
        <w:rPr>
          <w:rFonts w:ascii="Calibri" w:eastAsia="Calibri" w:hAnsi="Calibri" w:cs="Calibri"/>
        </w:rPr>
        <w:t xml:space="preserve"> Department of Anthropology, New York University</w:t>
      </w:r>
    </w:p>
    <w:p w14:paraId="00CFEDC6" w14:textId="506C100E" w:rsidR="00761594" w:rsidRDefault="00F246F3">
      <w:pPr>
        <w:rPr>
          <w:rFonts w:ascii="Calibri" w:eastAsia="Calibri" w:hAnsi="Calibri" w:cs="Calibri"/>
          <w:vertAlign w:val="superscript"/>
        </w:rPr>
      </w:pPr>
      <w:r>
        <w:rPr>
          <w:rFonts w:ascii="Calibri" w:eastAsia="Calibri" w:hAnsi="Calibri" w:cs="Calibri"/>
          <w:vertAlign w:val="superscript"/>
        </w:rPr>
        <w:t xml:space="preserve">3 </w:t>
      </w:r>
      <w:r>
        <w:rPr>
          <w:rFonts w:ascii="Calibri" w:eastAsia="Calibri" w:hAnsi="Calibri" w:cs="Calibri"/>
        </w:rPr>
        <w:t>Department of Anthropology, Rutgers University</w:t>
      </w:r>
    </w:p>
    <w:p w14:paraId="43E16DB1" w14:textId="4380D219" w:rsidR="00761594" w:rsidRDefault="00F246F3">
      <w:pPr>
        <w:rPr>
          <w:rFonts w:ascii="Calibri" w:eastAsia="Calibri" w:hAnsi="Calibri" w:cs="Calibri"/>
          <w:vertAlign w:val="superscript"/>
        </w:rPr>
      </w:pPr>
      <w:r>
        <w:rPr>
          <w:rFonts w:ascii="Calibri" w:eastAsia="Calibri" w:hAnsi="Calibri" w:cs="Calibri"/>
          <w:vertAlign w:val="superscript"/>
        </w:rPr>
        <w:t xml:space="preserve">4 </w:t>
      </w:r>
      <w:r>
        <w:rPr>
          <w:rFonts w:ascii="Calibri" w:eastAsia="Calibri" w:hAnsi="Calibri" w:cs="Calibri"/>
        </w:rPr>
        <w:t>Department of Ecology, Evolution, and Environmental Biology, Columbia University</w:t>
      </w:r>
    </w:p>
    <w:p w14:paraId="3A39F1F3" w14:textId="77777777" w:rsidR="00761594" w:rsidRDefault="00761594">
      <w:pPr>
        <w:rPr>
          <w:rFonts w:ascii="Calibri" w:eastAsia="Calibri" w:hAnsi="Calibri" w:cs="Calibri"/>
        </w:rPr>
      </w:pPr>
    </w:p>
    <w:p w14:paraId="5C03C3A1" w14:textId="77777777" w:rsidR="00761594" w:rsidRDefault="00761594">
      <w:pPr>
        <w:rPr>
          <w:rFonts w:ascii="Calibri" w:eastAsia="Calibri" w:hAnsi="Calibri" w:cs="Calibri"/>
        </w:rPr>
      </w:pPr>
    </w:p>
    <w:p w14:paraId="1774D4DA" w14:textId="77777777" w:rsidR="00761594" w:rsidRDefault="00000000">
      <w:pPr>
        <w:rPr>
          <w:rFonts w:ascii="Calibri" w:eastAsia="Calibri" w:hAnsi="Calibri" w:cs="Calibri"/>
          <w:b/>
        </w:rPr>
      </w:pPr>
      <w:r>
        <w:rPr>
          <w:rFonts w:ascii="Calibri" w:eastAsia="Calibri" w:hAnsi="Calibri" w:cs="Calibri"/>
          <w:b/>
        </w:rPr>
        <w:t>Introduction</w:t>
      </w:r>
    </w:p>
    <w:p w14:paraId="78166F1B" w14:textId="77777777" w:rsidR="00761594" w:rsidRDefault="00000000">
      <w:pPr>
        <w:ind w:firstLine="720"/>
        <w:rPr>
          <w:rFonts w:ascii="Calibri" w:eastAsia="Calibri" w:hAnsi="Calibri" w:cs="Calibri"/>
          <w:color w:val="0000FF"/>
        </w:rPr>
      </w:pPr>
      <w:r>
        <w:rPr>
          <w:rFonts w:ascii="Calibri" w:eastAsia="Calibri" w:hAnsi="Calibri" w:cs="Calibri"/>
        </w:rPr>
        <w:t xml:space="preserve">Life history theory predicts variation and trade-offs in the amount of energy allocated to growth, reproduction, and maintenance throughout the life course </w:t>
      </w:r>
      <w:hyperlink r:id="rId7">
        <w:r>
          <w:rPr>
            <w:rFonts w:ascii="Calibri" w:eastAsia="Calibri" w:hAnsi="Calibri" w:cs="Calibri"/>
          </w:rPr>
          <w:t>(McDade, 2003)</w:t>
        </w:r>
      </w:hyperlink>
      <w:r>
        <w:rPr>
          <w:rFonts w:ascii="Calibri" w:eastAsia="Calibri" w:hAnsi="Calibri" w:cs="Calibri"/>
          <w:color w:val="202122"/>
          <w:highlight w:val="white"/>
        </w:rPr>
        <w:t>.</w:t>
      </w:r>
      <w:r>
        <w:rPr>
          <w:rFonts w:ascii="Calibri" w:eastAsia="Calibri" w:hAnsi="Calibri" w:cs="Calibri"/>
          <w:color w:val="666666"/>
        </w:rPr>
        <w:t xml:space="preserve"> </w:t>
      </w:r>
      <w:r>
        <w:rPr>
          <w:rFonts w:ascii="Calibri" w:eastAsia="Calibri" w:hAnsi="Calibri" w:cs="Calibri"/>
        </w:rPr>
        <w:t xml:space="preserve">In recent decades, the field of evolutionary and eco-immunology has demonstrated that immune function and activity also come at a significant energetic cost, placing immunity among the pillars of life history theory and nested within somatic maintenance </w:t>
      </w:r>
      <w:hyperlink r:id="rId8">
        <w:r>
          <w:rPr>
            <w:rFonts w:ascii="Calibri" w:eastAsia="Calibri" w:hAnsi="Calibri" w:cs="Calibri"/>
          </w:rPr>
          <w:t>(Demas, 2004)</w:t>
        </w:r>
      </w:hyperlink>
      <w:r>
        <w:rPr>
          <w:rFonts w:ascii="Calibri" w:eastAsia="Calibri" w:hAnsi="Calibri" w:cs="Calibri"/>
        </w:rPr>
        <w:t xml:space="preserve">. During development, physical growth is a high priority, however it may tradeoff with the simultaneous necessity to defend against pathogens. This trade-off between investment in growth and immune function may be particularly intense in resource-limited environments. Faltering growth and smaller adult body size have significant implications for adult health, including increased morbidity </w:t>
      </w:r>
      <w:hyperlink r:id="rId9">
        <w:r>
          <w:rPr>
            <w:rFonts w:ascii="Calibri" w:eastAsia="Calibri" w:hAnsi="Calibri" w:cs="Calibri"/>
          </w:rPr>
          <w:t>(Min et al., 2021; Prendergast &amp; Humphrey, 2014)</w:t>
        </w:r>
      </w:hyperlink>
      <w:r>
        <w:rPr>
          <w:rFonts w:ascii="Calibri" w:eastAsia="Calibri" w:hAnsi="Calibri" w:cs="Calibri"/>
        </w:rPr>
        <w:t xml:space="preserve">, mortality, and lower reproductive success </w:t>
      </w:r>
      <w:hyperlink r:id="rId10">
        <w:r>
          <w:rPr>
            <w:rFonts w:ascii="Calibri" w:eastAsia="Calibri" w:hAnsi="Calibri" w:cs="Calibri"/>
          </w:rPr>
          <w:t>(Blanckenhorn, 2005; Hector &amp; Nakagawa, 2012)</w:t>
        </w:r>
      </w:hyperlink>
      <w:r>
        <w:rPr>
          <w:rFonts w:ascii="Calibri" w:eastAsia="Calibri" w:hAnsi="Calibri" w:cs="Calibri"/>
        </w:rPr>
        <w:t xml:space="preserve">, therefore successful growth has clear benefits. Less clear, however, is the extent to which immunity is prioritized relative to growth during development in wild animals inhabiting resource-limited environments, and whether low resource availability can pose an energetic constraint on immunity. Constraints on immunity imply </w:t>
      </w:r>
      <w:r>
        <w:rPr>
          <w:rFonts w:ascii="Calibri" w:eastAsia="Calibri" w:hAnsi="Calibri" w:cs="Calibri"/>
        </w:rPr>
        <w:lastRenderedPageBreak/>
        <w:t>susceptibility to infection, therefore potential tradeoffs between growth and immunity have broad implications for individual and population health.</w:t>
      </w:r>
    </w:p>
    <w:p w14:paraId="0FB15CB1" w14:textId="77777777" w:rsidR="00761594" w:rsidRDefault="00000000">
      <w:pPr>
        <w:ind w:firstLine="720"/>
        <w:rPr>
          <w:rFonts w:ascii="Calibri" w:eastAsia="Calibri" w:hAnsi="Calibri" w:cs="Calibri"/>
        </w:rPr>
      </w:pPr>
      <w:r>
        <w:rPr>
          <w:rFonts w:ascii="Calibri" w:eastAsia="Calibri" w:hAnsi="Calibri" w:cs="Calibri"/>
        </w:rPr>
        <w:t xml:space="preserve">The costs of immune activity can be high. In terms of metabolic rates, experimental stimulation of adaptive immunity increased resting metabolic rate substantially in mice </w:t>
      </w:r>
      <w:hyperlink r:id="rId11">
        <w:r>
          <w:rPr>
            <w:rFonts w:ascii="Calibri" w:eastAsia="Calibri" w:hAnsi="Calibri" w:cs="Calibri"/>
          </w:rPr>
          <w:t>(20-30%, Demas et al., 1997)</w:t>
        </w:r>
      </w:hyperlink>
      <w:r>
        <w:rPr>
          <w:rFonts w:ascii="Calibri" w:eastAsia="Calibri" w:hAnsi="Calibri" w:cs="Calibri"/>
        </w:rPr>
        <w:t xml:space="preserve"> and house sparrows </w:t>
      </w:r>
      <w:hyperlink r:id="rId12">
        <w:r>
          <w:rPr>
            <w:rFonts w:ascii="Calibri" w:eastAsia="Calibri" w:hAnsi="Calibri" w:cs="Calibri"/>
          </w:rPr>
          <w:t>(29%, Martin et al., 2003)</w:t>
        </w:r>
      </w:hyperlink>
      <w:r>
        <w:rPr>
          <w:rFonts w:ascii="Calibri" w:eastAsia="Calibri" w:hAnsi="Calibri" w:cs="Calibri"/>
        </w:rPr>
        <w:t xml:space="preserve">, and stimulation of innate immunity also led to a loss of body mass </w:t>
      </w:r>
      <w:hyperlink r:id="rId13">
        <w:r>
          <w:rPr>
            <w:rFonts w:ascii="Calibri" w:eastAsia="Calibri" w:hAnsi="Calibri" w:cs="Calibri"/>
          </w:rPr>
          <w:t>(house sparrows, Bonneaud et al., 2003)</w:t>
        </w:r>
      </w:hyperlink>
      <w:r>
        <w:rPr>
          <w:rFonts w:ascii="Calibri" w:eastAsia="Calibri" w:hAnsi="Calibri" w:cs="Calibri"/>
        </w:rPr>
        <w:t xml:space="preserve">. In humans, basal metabolic rate can increase 7-14% with acute infections </w:t>
      </w:r>
      <w:hyperlink r:id="rId14">
        <w:r>
          <w:rPr>
            <w:rFonts w:ascii="Calibri" w:eastAsia="Calibri" w:hAnsi="Calibri" w:cs="Calibri"/>
          </w:rPr>
          <w:t>(Barr et al., 1922; Urlacher et al., 2018)</w:t>
        </w:r>
      </w:hyperlink>
      <w:r>
        <w:rPr>
          <w:rFonts w:ascii="Calibri" w:eastAsia="Calibri" w:hAnsi="Calibri" w:cs="Calibri"/>
        </w:rPr>
        <w:t xml:space="preserve">, while more severe infections can lead to increases up to 50% </w:t>
      </w:r>
      <w:hyperlink r:id="rId15">
        <w:r>
          <w:rPr>
            <w:rFonts w:ascii="Calibri" w:eastAsia="Calibri" w:hAnsi="Calibri" w:cs="Calibri"/>
          </w:rPr>
          <w:t>(Urlacher et al., 2018)</w:t>
        </w:r>
      </w:hyperlink>
      <w:r>
        <w:rPr>
          <w:rFonts w:ascii="Calibri" w:eastAsia="Calibri" w:hAnsi="Calibri" w:cs="Calibri"/>
        </w:rPr>
        <w:t xml:space="preserve">. Costs also include behavioral changes, such as less physical activity and increased sleep </w:t>
      </w:r>
      <w:hyperlink r:id="rId16">
        <w:r>
          <w:rPr>
            <w:rFonts w:ascii="Calibri" w:eastAsia="Calibri" w:hAnsi="Calibri" w:cs="Calibri"/>
          </w:rPr>
          <w:t>(reviewed in Tizard, 2008)</w:t>
        </w:r>
      </w:hyperlink>
      <w:r>
        <w:rPr>
          <w:rFonts w:ascii="Calibri" w:eastAsia="Calibri" w:hAnsi="Calibri" w:cs="Calibri"/>
        </w:rPr>
        <w:t xml:space="preserve">. Such compensatory behavior represents an opportunity cost, as it appears to occur independently of energetic status and is adaptively regulated by cytokine signals in an effort to heal and maintain homeostasis </w:t>
      </w:r>
      <w:hyperlink r:id="rId17">
        <w:r>
          <w:rPr>
            <w:rFonts w:ascii="Calibri" w:eastAsia="Calibri" w:hAnsi="Calibri" w:cs="Calibri"/>
          </w:rPr>
          <w:t>(Tizard, 2008)</w:t>
        </w:r>
      </w:hyperlink>
      <w:r>
        <w:rPr>
          <w:rFonts w:ascii="Calibri" w:eastAsia="Calibri" w:hAnsi="Calibri" w:cs="Calibri"/>
        </w:rPr>
        <w:t>.</w:t>
      </w:r>
    </w:p>
    <w:p w14:paraId="223DABC6" w14:textId="77777777" w:rsidR="00761594" w:rsidRDefault="00000000">
      <w:pPr>
        <w:ind w:firstLine="720"/>
        <w:rPr>
          <w:rFonts w:ascii="Calibri" w:eastAsia="Calibri" w:hAnsi="Calibri" w:cs="Calibri"/>
        </w:rPr>
      </w:pPr>
      <w:r>
        <w:rPr>
          <w:rFonts w:ascii="Calibri" w:eastAsia="Calibri" w:hAnsi="Calibri" w:cs="Calibri"/>
        </w:rPr>
        <w:t xml:space="preserve">During development, energetic investment in immune function can limit physiologically available energy and thereby compromise physical growth. Experimental stimulations of immune responses led to slower growth rates in juvenile barn swallows </w:t>
      </w:r>
      <w:hyperlink r:id="rId18">
        <w:r>
          <w:rPr>
            <w:rFonts w:ascii="Calibri" w:eastAsia="Calibri" w:hAnsi="Calibri" w:cs="Calibri"/>
          </w:rPr>
          <w:t>(Saino et al., 1998)</w:t>
        </w:r>
      </w:hyperlink>
      <w:r>
        <w:rPr>
          <w:rFonts w:ascii="Calibri" w:eastAsia="Calibri" w:hAnsi="Calibri" w:cs="Calibri"/>
        </w:rPr>
        <w:t xml:space="preserve"> and magpies </w:t>
      </w:r>
      <w:hyperlink r:id="rId19">
        <w:r>
          <w:rPr>
            <w:rFonts w:ascii="Calibri" w:eastAsia="Calibri" w:hAnsi="Calibri" w:cs="Calibri"/>
          </w:rPr>
          <w:t>(Soler et al., 2003)</w:t>
        </w:r>
      </w:hyperlink>
      <w:r>
        <w:rPr>
          <w:rFonts w:ascii="Calibri" w:eastAsia="Calibri" w:hAnsi="Calibri" w:cs="Calibri"/>
        </w:rPr>
        <w:t xml:space="preserve">. Such tradeoffs may manifest at different timescales according to the type of immune activity. For example, high immune surveillance, as measured by non-acute concentrations of c-reactive protein (CRP, &lt; 2mg/L), corresponded with slower growth in adolescent Gambian women over one year </w:t>
      </w:r>
      <w:hyperlink r:id="rId20">
        <w:r>
          <w:rPr>
            <w:rFonts w:ascii="Calibri" w:eastAsia="Calibri" w:hAnsi="Calibri" w:cs="Calibri"/>
          </w:rPr>
          <w:t>(height velocity and lean mass deposition, Shattuck-Heidorn et al., 2017)</w:t>
        </w:r>
      </w:hyperlink>
      <w:r>
        <w:rPr>
          <w:rFonts w:ascii="Calibri" w:eastAsia="Calibri" w:hAnsi="Calibri" w:cs="Calibri"/>
        </w:rPr>
        <w:t xml:space="preserve">. However, among Shuar children in Amazonian Ecuador, acutely elevated CRP was associated with a 49% drop in growth over one week, but at longer intervals there were no associated changes in growth </w:t>
      </w:r>
      <w:hyperlink r:id="rId21">
        <w:r>
          <w:rPr>
            <w:rFonts w:ascii="Calibri" w:eastAsia="Calibri" w:hAnsi="Calibri" w:cs="Calibri"/>
          </w:rPr>
          <w:t>(lower leg length, Urlacher et al., 2018)</w:t>
        </w:r>
      </w:hyperlink>
      <w:r>
        <w:rPr>
          <w:rFonts w:ascii="Calibri" w:eastAsia="Calibri" w:hAnsi="Calibri" w:cs="Calibri"/>
        </w:rPr>
        <w:t xml:space="preserve">. As life history theory predicts that tradeoffs result from limited resources, the occurrence of tradeoffs also likely depends on individual body condition and energetic reserves in adipose tissue and lean body mass. For example, although acute elevations of CRP compromised short-term growth in thinner Shuar children, those with more body fat had no reduction in growth </w:t>
      </w:r>
      <w:hyperlink r:id="rId22">
        <w:r>
          <w:rPr>
            <w:rFonts w:ascii="Calibri" w:eastAsia="Calibri" w:hAnsi="Calibri" w:cs="Calibri"/>
          </w:rPr>
          <w:t>(Urlacher et al., 2018)</w:t>
        </w:r>
      </w:hyperlink>
      <w:r>
        <w:rPr>
          <w:rFonts w:ascii="Calibri" w:eastAsia="Calibri" w:hAnsi="Calibri" w:cs="Calibri"/>
        </w:rPr>
        <w:t>, indicating that greater energetic reserves can minimize the need for tradeoffs.</w:t>
      </w:r>
    </w:p>
    <w:p w14:paraId="32F38A9F" w14:textId="77777777" w:rsidR="00761594" w:rsidRDefault="00000000">
      <w:pPr>
        <w:ind w:firstLine="720"/>
        <w:rPr>
          <w:rFonts w:ascii="Calibri" w:eastAsia="Calibri" w:hAnsi="Calibri" w:cs="Calibri"/>
        </w:rPr>
      </w:pPr>
      <w:r>
        <w:rPr>
          <w:rFonts w:ascii="Calibri" w:eastAsia="Calibri" w:hAnsi="Calibri" w:cs="Calibri"/>
        </w:rPr>
        <w:t xml:space="preserve">While immune activity is costly, it can also be energetically constrained. Several branches of the immune system are dependent on adequate caloric and nutrient intake and energy stores for proper function </w:t>
      </w:r>
      <w:hyperlink r:id="rId23">
        <w:r>
          <w:rPr>
            <w:rFonts w:ascii="Calibri" w:eastAsia="Calibri" w:hAnsi="Calibri" w:cs="Calibri"/>
          </w:rPr>
          <w:t>(Nelson et al., 2002; Vogel et al., 2024)</w:t>
        </w:r>
      </w:hyperlink>
      <w:r>
        <w:rPr>
          <w:rFonts w:ascii="Calibri" w:eastAsia="Calibri" w:hAnsi="Calibri" w:cs="Calibri"/>
        </w:rPr>
        <w:t xml:space="preserve">. Fasting under experimental conditions suppresses T-cell mediated immunity </w:t>
      </w:r>
      <w:hyperlink r:id="rId24">
        <w:r>
          <w:rPr>
            <w:rFonts w:ascii="Calibri" w:eastAsia="Calibri" w:hAnsi="Calibri" w:cs="Calibri"/>
          </w:rPr>
          <w:t>(humans, Castaneda et al., 1995; Mongolian gerbils, Xu &amp; Wang, 2010)</w:t>
        </w:r>
      </w:hyperlink>
      <w:r>
        <w:rPr>
          <w:rFonts w:ascii="Calibri" w:eastAsia="Calibri" w:hAnsi="Calibri" w:cs="Calibri"/>
        </w:rPr>
        <w:t xml:space="preserve">, humoral immune function </w:t>
      </w:r>
      <w:hyperlink r:id="rId25">
        <w:r>
          <w:rPr>
            <w:rFonts w:ascii="Calibri" w:eastAsia="Calibri" w:hAnsi="Calibri" w:cs="Calibri"/>
          </w:rPr>
          <w:t>(Siberian hamsters, Zysling &amp; Demas, 2007)</w:t>
        </w:r>
      </w:hyperlink>
      <w:r>
        <w:rPr>
          <w:rFonts w:ascii="Calibri" w:eastAsia="Calibri" w:hAnsi="Calibri" w:cs="Calibri"/>
        </w:rPr>
        <w:t xml:space="preserve">, and circulating concentrations of interferon-γ </w:t>
      </w:r>
      <w:hyperlink r:id="rId26">
        <w:r>
          <w:rPr>
            <w:rFonts w:ascii="Calibri" w:eastAsia="Calibri" w:hAnsi="Calibri" w:cs="Calibri"/>
          </w:rPr>
          <w:t>(rats, Jolly, 2004)</w:t>
        </w:r>
      </w:hyperlink>
      <w:r>
        <w:rPr>
          <w:rFonts w:ascii="Calibri" w:eastAsia="Calibri" w:hAnsi="Calibri" w:cs="Calibri"/>
        </w:rPr>
        <w:t xml:space="preserve">. In humans, malnutrition is the most common cause of immunodeficiency worldwide </w:t>
      </w:r>
      <w:hyperlink r:id="rId27">
        <w:r>
          <w:rPr>
            <w:rFonts w:ascii="Calibri" w:eastAsia="Calibri" w:hAnsi="Calibri" w:cs="Calibri"/>
          </w:rPr>
          <w:t>(Chandra, 1996)</w:t>
        </w:r>
      </w:hyperlink>
      <w:r>
        <w:rPr>
          <w:rFonts w:ascii="Calibri" w:eastAsia="Calibri" w:hAnsi="Calibri" w:cs="Calibri"/>
        </w:rPr>
        <w:t xml:space="preserve">, where malnourished vs. well-nourished children are more susceptible to higher rates of </w:t>
      </w:r>
      <w:r>
        <w:rPr>
          <w:rFonts w:ascii="Calibri" w:eastAsia="Calibri" w:hAnsi="Calibri" w:cs="Calibri"/>
          <w:color w:val="212121"/>
          <w:highlight w:val="white"/>
        </w:rPr>
        <w:t xml:space="preserve">diarrhea, respiratory infections, measles, and malaria </w:t>
      </w:r>
      <w:hyperlink r:id="rId28">
        <w:r>
          <w:rPr>
            <w:rFonts w:ascii="Calibri" w:eastAsia="Calibri" w:hAnsi="Calibri" w:cs="Calibri"/>
          </w:rPr>
          <w:t>(Schaible &amp; Kaufmann, 2007)</w:t>
        </w:r>
      </w:hyperlink>
      <w:r>
        <w:rPr>
          <w:rFonts w:ascii="Calibri" w:eastAsia="Calibri" w:hAnsi="Calibri" w:cs="Calibri"/>
        </w:rPr>
        <w:t xml:space="preserve">. Immunocompetence also varies in response to natural seasonal fluctuations in body fat stores in several seasonally breeding rodents </w:t>
      </w:r>
      <w:hyperlink r:id="rId29">
        <w:r>
          <w:rPr>
            <w:rFonts w:ascii="Calibri" w:eastAsia="Calibri" w:hAnsi="Calibri" w:cs="Calibri"/>
          </w:rPr>
          <w:t>(Bartness et al., 2002)</w:t>
        </w:r>
      </w:hyperlink>
      <w:r>
        <w:rPr>
          <w:rFonts w:ascii="Calibri" w:eastAsia="Calibri" w:hAnsi="Calibri" w:cs="Calibri"/>
        </w:rPr>
        <w:t xml:space="preserve">. Further, although survival in the face of pathogens is of great importance to fitness, immune function can be deprioritized and subjected to the same tradeoffs as other life history pillars. For example, domesticated chickens selected for faster growth demonstrated weaker cellular and humoral immune responses </w:t>
      </w:r>
      <w:hyperlink r:id="rId30">
        <w:r>
          <w:rPr>
            <w:rFonts w:ascii="Calibri" w:eastAsia="Calibri" w:hAnsi="Calibri" w:cs="Calibri"/>
          </w:rPr>
          <w:t>(van der Most et al., 2011)</w:t>
        </w:r>
      </w:hyperlink>
      <w:r>
        <w:rPr>
          <w:rFonts w:ascii="Calibri" w:eastAsia="Calibri" w:hAnsi="Calibri" w:cs="Calibri"/>
        </w:rPr>
        <w:t xml:space="preserve">. </w:t>
      </w:r>
    </w:p>
    <w:p w14:paraId="4419B860" w14:textId="77777777" w:rsidR="00761594" w:rsidRDefault="00000000">
      <w:pPr>
        <w:ind w:firstLine="720"/>
        <w:rPr>
          <w:rFonts w:ascii="Calibri" w:eastAsia="Calibri" w:hAnsi="Calibri" w:cs="Calibri"/>
        </w:rPr>
      </w:pPr>
      <w:r>
        <w:rPr>
          <w:rFonts w:ascii="Calibri" w:eastAsia="Calibri" w:hAnsi="Calibri" w:cs="Calibri"/>
        </w:rPr>
        <w:t xml:space="preserve">Several potential mechanisms mediate energetic constraints on the allocation of energy to immune function. Individuals may experience a direct lack of fuel for immune cells, such as glucose </w:t>
      </w:r>
      <w:hyperlink r:id="rId31">
        <w:r>
          <w:rPr>
            <w:rFonts w:ascii="Calibri" w:eastAsia="Calibri" w:hAnsi="Calibri" w:cs="Calibri"/>
          </w:rPr>
          <w:t>(rats, Lysle et al., 1988; mice, E. S. Miller et al., 1994)</w:t>
        </w:r>
      </w:hyperlink>
      <w:r>
        <w:rPr>
          <w:rFonts w:ascii="Calibri" w:eastAsia="Calibri" w:hAnsi="Calibri" w:cs="Calibri"/>
        </w:rPr>
        <w:t xml:space="preserve"> or free fatty acids </w:t>
      </w:r>
      <w:hyperlink r:id="rId32">
        <w:r>
          <w:rPr>
            <w:rFonts w:ascii="Calibri" w:eastAsia="Calibri" w:hAnsi="Calibri" w:cs="Calibri"/>
          </w:rPr>
          <w:t>(Pond, 1996)</w:t>
        </w:r>
      </w:hyperlink>
      <w:r>
        <w:rPr>
          <w:rFonts w:ascii="Calibri" w:eastAsia="Calibri" w:hAnsi="Calibri" w:cs="Calibri"/>
        </w:rPr>
        <w:t xml:space="preserve">. Such metabolic stress, however, can result in a general stress response, with the release of glucocorticoids (GCs) mediating the </w:t>
      </w:r>
      <w:r>
        <w:rPr>
          <w:rFonts w:ascii="Calibri" w:eastAsia="Calibri" w:hAnsi="Calibri" w:cs="Calibri"/>
        </w:rPr>
        <w:lastRenderedPageBreak/>
        <w:t xml:space="preserve">immunosuppressive effects of low energy. Indeed, concentrations of GCs rise in response to experimental fasting (mongolian gerbils, xu wang) </w:t>
      </w:r>
      <w:hyperlink r:id="rId33">
        <w:r>
          <w:rPr>
            <w:rFonts w:ascii="Calibri" w:eastAsia="Calibri" w:hAnsi="Calibri" w:cs="Calibri"/>
          </w:rPr>
          <w:t>(Mongolian gerbils, Xu &amp; Wang, 2010)</w:t>
        </w:r>
      </w:hyperlink>
      <w:r>
        <w:rPr>
          <w:rFonts w:ascii="Calibri" w:eastAsia="Calibri" w:hAnsi="Calibri" w:cs="Calibri"/>
        </w:rPr>
        <w:t xml:space="preserve"> and in naturally occurring periods of low energy balance </w:t>
      </w:r>
      <w:hyperlink r:id="rId34">
        <w:r>
          <w:rPr>
            <w:rFonts w:ascii="Calibri" w:eastAsia="Calibri" w:hAnsi="Calibri" w:cs="Calibri"/>
          </w:rPr>
          <w:t>(blue monkeys, Thompson et al., 2020)</w:t>
        </w:r>
      </w:hyperlink>
      <w:r>
        <w:rPr>
          <w:rFonts w:ascii="Calibri" w:eastAsia="Calibri" w:hAnsi="Calibri" w:cs="Calibri"/>
        </w:rPr>
        <w:t xml:space="preserve">. Lastly, depletion of body fat reduces circulating concentrations of leptin, a hormone similar in structure to IL-2 and similarly critical for sustaining cell-mediated immunity </w:t>
      </w:r>
      <w:hyperlink r:id="rId35">
        <w:r>
          <w:rPr>
            <w:rFonts w:ascii="Calibri" w:eastAsia="Calibri" w:hAnsi="Calibri" w:cs="Calibri"/>
          </w:rPr>
          <w:t>(McDade, 2003)</w:t>
        </w:r>
      </w:hyperlink>
      <w:r>
        <w:rPr>
          <w:rFonts w:ascii="Calibri" w:eastAsia="Calibri" w:hAnsi="Calibri" w:cs="Calibri"/>
        </w:rPr>
        <w:t xml:space="preserve">. Though difficult to disentangle, understanding the mechanisms of energy-regulated immunomodulation is important for predicting circumstances in which immune function may be constrained and, more broadly, helps elucidate how life history trade-offs may be regulated </w:t>
      </w:r>
      <w:hyperlink r:id="rId36">
        <w:r>
          <w:rPr>
            <w:rFonts w:ascii="Calibri" w:eastAsia="Calibri" w:hAnsi="Calibri" w:cs="Calibri"/>
          </w:rPr>
          <w:t>(e.g., Ellison, 2017)</w:t>
        </w:r>
      </w:hyperlink>
      <w:r>
        <w:rPr>
          <w:rFonts w:ascii="Calibri" w:eastAsia="Calibri" w:hAnsi="Calibri" w:cs="Calibri"/>
        </w:rPr>
        <w:t>.</w:t>
      </w:r>
    </w:p>
    <w:p w14:paraId="29C300B6" w14:textId="77777777" w:rsidR="00761594" w:rsidRDefault="00000000">
      <w:pPr>
        <w:ind w:firstLine="720"/>
        <w:rPr>
          <w:rFonts w:ascii="Calibri" w:eastAsia="Calibri" w:hAnsi="Calibri" w:cs="Calibri"/>
        </w:rPr>
      </w:pPr>
      <w:r>
        <w:rPr>
          <w:rFonts w:ascii="Calibri" w:eastAsia="Calibri" w:hAnsi="Calibri" w:cs="Calibri"/>
        </w:rPr>
        <w:t xml:space="preserve"> Inadequate energy intake can lower cellular immune activity specifically, relative to humoral immunity </w:t>
      </w:r>
      <w:hyperlink r:id="rId37">
        <w:r>
          <w:rPr>
            <w:rFonts w:ascii="Calibri" w:eastAsia="Calibri" w:hAnsi="Calibri" w:cs="Calibri"/>
          </w:rPr>
          <w:t>(Long &amp; Nanthakumar, 2004)</w:t>
        </w:r>
      </w:hyperlink>
      <w:r>
        <w:rPr>
          <w:rFonts w:ascii="Calibri" w:eastAsia="Calibri" w:hAnsi="Calibri" w:cs="Calibri"/>
        </w:rPr>
        <w:t xml:space="preserve">. The cellular arm of the adaptive immune response involves the development and mobilization of T helper type 1 cells (Th1) and their recruitment of monocyte-derived macrophages. This activity corresponds with inflammation, a particularly costly aspect of the immune response that generally requires processes to repair collateral damage to self </w:t>
      </w:r>
      <w:hyperlink r:id="rId38">
        <w:r>
          <w:rPr>
            <w:rFonts w:ascii="Calibri" w:eastAsia="Calibri" w:hAnsi="Calibri" w:cs="Calibri"/>
          </w:rPr>
          <w:t>(Weavers et al., 2019)</w:t>
        </w:r>
      </w:hyperlink>
      <w:r>
        <w:rPr>
          <w:rFonts w:ascii="Calibri" w:eastAsia="Calibri" w:hAnsi="Calibri" w:cs="Calibri"/>
        </w:rPr>
        <w:t xml:space="preserve">. In mice, lower circulating leptin concentrations during fasting led to a decrease in Th1 cytokines and a predominance of Th2, whereas refeeding restored Th1 and suppressed Th2 cytokines </w:t>
      </w:r>
      <w:hyperlink r:id="rId39">
        <w:r>
          <w:rPr>
            <w:rFonts w:ascii="Calibri" w:eastAsia="Calibri" w:hAnsi="Calibri" w:cs="Calibri"/>
          </w:rPr>
          <w:t>(Lord et al., 1998)</w:t>
        </w:r>
      </w:hyperlink>
      <w:r>
        <w:rPr>
          <w:rFonts w:ascii="Calibri" w:eastAsia="Calibri" w:hAnsi="Calibri" w:cs="Calibri"/>
        </w:rPr>
        <w:t xml:space="preserve">. Although T cell profiles require invasive sampling to quantify, cellular immune activity can be reliably measured non-invasively. The biomarker neopterin is a useful non-invasive marker of cellular immune activity, as well as general inflammatory activity of macrophages, as it is produced by type I macrophages typically after their activation by IFNy produced by Th1 cells </w:t>
      </w:r>
      <w:hyperlink r:id="rId40">
        <w:r>
          <w:rPr>
            <w:rFonts w:ascii="Calibri" w:eastAsia="Calibri" w:hAnsi="Calibri" w:cs="Calibri"/>
          </w:rPr>
          <w:t xml:space="preserve">(Murr et al., </w:t>
        </w:r>
      </w:hyperlink>
      <w:hyperlink r:id="rId41">
        <w:r>
          <w:rPr>
            <w:rFonts w:ascii="Calibri" w:eastAsia="Calibri" w:hAnsi="Calibri" w:cs="Calibri"/>
          </w:rPr>
          <w:t>2002</w:t>
        </w:r>
      </w:hyperlink>
      <w:hyperlink r:id="rId42">
        <w:r>
          <w:rPr>
            <w:rFonts w:ascii="Calibri" w:eastAsia="Calibri" w:hAnsi="Calibri" w:cs="Calibri"/>
          </w:rPr>
          <w:t>)</w:t>
        </w:r>
      </w:hyperlink>
      <w:r>
        <w:rPr>
          <w:rFonts w:ascii="Calibri" w:eastAsia="Calibri" w:hAnsi="Calibri" w:cs="Calibri"/>
        </w:rPr>
        <w:t xml:space="preserve">. Neopterin has been validated to increase in response to acute infection in macaques </w:t>
      </w:r>
      <w:hyperlink r:id="rId43">
        <w:r>
          <w:rPr>
            <w:rFonts w:ascii="Calibri" w:eastAsia="Calibri" w:hAnsi="Calibri" w:cs="Calibri"/>
          </w:rPr>
          <w:t>(Higham et al., 2015)</w:t>
        </w:r>
      </w:hyperlink>
      <w:r>
        <w:rPr>
          <w:rFonts w:ascii="Calibri" w:eastAsia="Calibri" w:hAnsi="Calibri" w:cs="Calibri"/>
        </w:rPr>
        <w:t xml:space="preserve"> and great apes </w:t>
      </w:r>
      <w:hyperlink r:id="rId44">
        <w:r>
          <w:rPr>
            <w:rFonts w:ascii="Calibri" w:eastAsia="Calibri" w:hAnsi="Calibri" w:cs="Calibri"/>
          </w:rPr>
          <w:t>(bonobos, Behringer et al., 2017; chimpanzees, Thompson González et al., 2020)</w:t>
        </w:r>
      </w:hyperlink>
      <w:r>
        <w:rPr>
          <w:rFonts w:ascii="Calibri" w:eastAsia="Calibri" w:hAnsi="Calibri" w:cs="Calibri"/>
        </w:rPr>
        <w:t xml:space="preserve">. It is excreted in urine and is highly stable when stored in the absence of light at low temperatures, making it an ideal marker of cellular immune activity in wild primate populations </w:t>
      </w:r>
      <w:hyperlink r:id="rId45">
        <w:r>
          <w:rPr>
            <w:rFonts w:ascii="Calibri" w:eastAsia="Calibri" w:hAnsi="Calibri" w:cs="Calibri"/>
          </w:rPr>
          <w:t>(Heistermann &amp; Higham, 2015)</w:t>
        </w:r>
      </w:hyperlink>
      <w:r>
        <w:rPr>
          <w:rFonts w:ascii="Calibri" w:eastAsia="Calibri" w:hAnsi="Calibri" w:cs="Calibri"/>
        </w:rPr>
        <w:t>.</w:t>
      </w:r>
    </w:p>
    <w:p w14:paraId="38FF04AF" w14:textId="5E06027D" w:rsidR="00761594" w:rsidRDefault="00000000">
      <w:pPr>
        <w:ind w:firstLine="720"/>
        <w:rPr>
          <w:rFonts w:ascii="Calibri" w:eastAsia="Calibri" w:hAnsi="Calibri" w:cs="Calibri"/>
        </w:rPr>
      </w:pPr>
      <w:r>
        <w:rPr>
          <w:rFonts w:ascii="Calibri" w:eastAsia="Calibri" w:hAnsi="Calibri" w:cs="Calibri"/>
        </w:rPr>
        <w:t xml:space="preserve">Energy balance and bodily condition are challenging to quantify in wild primates: the gold standard for measuring each requires capture or controls which are not feasible in most wild populations (e.g., doubly-labeled water method). Nevertheless, </w:t>
      </w:r>
      <w:r w:rsidR="004435CC">
        <w:rPr>
          <w:rFonts w:ascii="Calibri" w:eastAsia="Calibri" w:hAnsi="Calibri" w:cs="Calibri"/>
        </w:rPr>
        <w:t xml:space="preserve">the status of </w:t>
      </w:r>
      <w:r>
        <w:rPr>
          <w:rFonts w:ascii="Calibri" w:eastAsia="Calibri" w:hAnsi="Calibri" w:cs="Calibri"/>
        </w:rPr>
        <w:t xml:space="preserve">each can be approximated non-invasively. Energy balance, or the difference between energy intake and expenditure, can be well-approximated with </w:t>
      </w:r>
      <w:r w:rsidR="002C1B12">
        <w:rPr>
          <w:rFonts w:ascii="Calibri" w:eastAsia="Calibri" w:hAnsi="Calibri" w:cs="Calibri"/>
        </w:rPr>
        <w:t>C-peptide</w:t>
      </w:r>
      <w:r>
        <w:rPr>
          <w:rFonts w:ascii="Calibri" w:eastAsia="Calibri" w:hAnsi="Calibri" w:cs="Calibri"/>
        </w:rPr>
        <w:t xml:space="preserve"> of insulin </w:t>
      </w:r>
      <w:hyperlink r:id="rId46">
        <w:r>
          <w:rPr>
            <w:rFonts w:ascii="Calibri" w:eastAsia="Calibri" w:hAnsi="Calibri" w:cs="Calibri"/>
          </w:rPr>
          <w:t>(Emery Thompson, 2016; Girard-Buttoz et al., 2011; Higham et al., 2011)</w:t>
        </w:r>
      </w:hyperlink>
      <w:r>
        <w:rPr>
          <w:rFonts w:ascii="Calibri" w:eastAsia="Calibri" w:hAnsi="Calibri" w:cs="Calibri"/>
        </w:rPr>
        <w:t xml:space="preserve">. C-peptide is excreted in urine and produced in a 1:1 ratio with insulin, providing an integrated signal of energy balance to the brain. C-peptide has been validated in several primate species, shown to correspond with body mass </w:t>
      </w:r>
      <w:hyperlink r:id="rId47">
        <w:r>
          <w:rPr>
            <w:rFonts w:ascii="Calibri" w:eastAsia="Calibri" w:hAnsi="Calibri" w:cs="Calibri"/>
          </w:rPr>
          <w:t>(bonobos, Deschner et al., 2008; macaques, Gira</w:t>
        </w:r>
        <w:r w:rsidR="002C1B12">
          <w:rPr>
            <w:rFonts w:ascii="Calibri" w:eastAsia="Calibri" w:hAnsi="Calibri" w:cs="Calibri"/>
          </w:rPr>
          <w:t>s</w:t>
        </w:r>
        <w:r>
          <w:rPr>
            <w:rFonts w:ascii="Calibri" w:eastAsia="Calibri" w:hAnsi="Calibri" w:cs="Calibri"/>
          </w:rPr>
          <w:t>r</w:t>
        </w:r>
        <w:r>
          <w:rPr>
            <w:rFonts w:ascii="Calibri" w:eastAsia="Calibri" w:hAnsi="Calibri" w:cs="Calibri"/>
          </w:rPr>
          <w:t>d-Buttoz et al., 2011)</w:t>
        </w:r>
      </w:hyperlink>
      <w:r>
        <w:rPr>
          <w:rFonts w:ascii="Calibri" w:eastAsia="Calibri" w:hAnsi="Calibri" w:cs="Calibri"/>
        </w:rPr>
        <w:t>, feeding rates and mass gain and loss (</w:t>
      </w:r>
      <w:hyperlink r:id="rId48">
        <w:r>
          <w:rPr>
            <w:rFonts w:ascii="Calibri" w:eastAsia="Calibri" w:hAnsi="Calibri" w:cs="Calibri"/>
          </w:rPr>
          <w:t>macaques, Girard-Buttoz et al., 2011</w:t>
        </w:r>
      </w:hyperlink>
      <w:r>
        <w:rPr>
          <w:rFonts w:ascii="Calibri" w:eastAsia="Calibri" w:hAnsi="Calibri" w:cs="Calibri"/>
        </w:rPr>
        <w:t xml:space="preserve">), and food availability </w:t>
      </w:r>
      <w:hyperlink r:id="rId49">
        <w:r>
          <w:rPr>
            <w:rFonts w:ascii="Calibri" w:eastAsia="Calibri" w:hAnsi="Calibri" w:cs="Calibri"/>
          </w:rPr>
          <w:t>(chimpanzees, Emery Thompson et al., 2009; orangutans, Emery Thompson &amp; Knott, 2008; gorillas, Grueter et al., 2014; blue monkeys, Thompson et al., 2020)</w:t>
        </w:r>
      </w:hyperlink>
      <w:r>
        <w:rPr>
          <w:rFonts w:ascii="Calibri" w:eastAsia="Calibri" w:hAnsi="Calibri" w:cs="Calibri"/>
        </w:rPr>
        <w:t xml:space="preserve">. Body condition typically refers to the availability of energetic reserves, namely body fat and lean muscle </w:t>
      </w:r>
      <w:hyperlink r:id="rId50">
        <w:r>
          <w:rPr>
            <w:rFonts w:ascii="Calibri" w:eastAsia="Calibri" w:hAnsi="Calibri" w:cs="Calibri"/>
          </w:rPr>
          <w:t>(Schulte-Hostedde et al., 2005)</w:t>
        </w:r>
      </w:hyperlink>
      <w:r>
        <w:rPr>
          <w:rFonts w:ascii="Calibri" w:eastAsia="Calibri" w:hAnsi="Calibri" w:cs="Calibri"/>
        </w:rPr>
        <w:t xml:space="preserve">. To date, no non-invasive methods have been validated to measure body fat, however approximation of lean body mass is possible with a combination of urinary creatinine and specific gravity </w:t>
      </w:r>
      <w:hyperlink r:id="rId51">
        <w:r>
          <w:rPr>
            <w:rFonts w:ascii="Calibri" w:eastAsia="Calibri" w:hAnsi="Calibri" w:cs="Calibri"/>
          </w:rPr>
          <w:t>(Emery Thompson et al., 2012)</w:t>
        </w:r>
      </w:hyperlink>
      <w:r>
        <w:rPr>
          <w:rFonts w:ascii="Calibri" w:eastAsia="Calibri" w:hAnsi="Calibri" w:cs="Calibri"/>
        </w:rPr>
        <w:t xml:space="preserve">. Although lipids in adipose tissue are typically metabolized prior to protein in lean muscle, lean muscle still constitutes an energetic reserve </w:t>
      </w:r>
      <w:hyperlink r:id="rId52">
        <w:r>
          <w:rPr>
            <w:rFonts w:ascii="Calibri" w:eastAsia="Calibri" w:hAnsi="Calibri" w:cs="Calibri"/>
          </w:rPr>
          <w:t>(O’Connell et al., 2021; Schulte-Hostedde et al., 2005)</w:t>
        </w:r>
      </w:hyperlink>
      <w:r>
        <w:rPr>
          <w:rFonts w:ascii="Calibri" w:eastAsia="Calibri" w:hAnsi="Calibri" w:cs="Calibri"/>
        </w:rPr>
        <w:t>. Creatinine content of urine that exceeds expected values based on urine’s specific gravity represents relatively higher muscle mass, and lower muscle mass if creatinine falls below expected values.</w:t>
      </w:r>
    </w:p>
    <w:p w14:paraId="2A637AC1" w14:textId="77777777" w:rsidR="00761594" w:rsidRDefault="00000000">
      <w:pPr>
        <w:ind w:firstLine="720"/>
        <w:rPr>
          <w:rFonts w:ascii="Calibri" w:eastAsia="Calibri" w:hAnsi="Calibri" w:cs="Calibri"/>
        </w:rPr>
      </w:pPr>
      <w:r>
        <w:rPr>
          <w:rFonts w:ascii="Calibri" w:eastAsia="Calibri" w:hAnsi="Calibri" w:cs="Calibri"/>
        </w:rPr>
        <w:lastRenderedPageBreak/>
        <w:t xml:space="preserve">Physical growth is a cornerstone of the developmental period, as is the development of immunity to novel pathogens, and so we expect that competing investments in immunity and growth are likely to arise during this life stage. Nevertheless, the tradeoffs between these investments likely depend on species life history dynamics and physical environments. The juvenile period of development, defined as when individuals are no longer dependent on parental care for survival yet not reproductively mature </w:t>
      </w:r>
      <w:hyperlink r:id="rId53">
        <w:r>
          <w:rPr>
            <w:rFonts w:ascii="Calibri" w:eastAsia="Calibri" w:hAnsi="Calibri" w:cs="Calibri"/>
          </w:rPr>
          <w:t>(Pereira &amp; Fairbanks, 2003)</w:t>
        </w:r>
      </w:hyperlink>
      <w:r>
        <w:rPr>
          <w:rFonts w:ascii="Calibri" w:eastAsia="Calibri" w:hAnsi="Calibri" w:cs="Calibri"/>
        </w:rPr>
        <w:t xml:space="preserve">, is prolonged in primates relative to other mammals of similar body size </w:t>
      </w:r>
      <w:hyperlink r:id="rId54">
        <w:r>
          <w:rPr>
            <w:rFonts w:ascii="Calibri" w:eastAsia="Calibri" w:hAnsi="Calibri" w:cs="Calibri"/>
          </w:rPr>
          <w:t>(Pagel &amp; Harvey, 2003)</w:t>
        </w:r>
      </w:hyperlink>
      <w:r>
        <w:rPr>
          <w:rFonts w:ascii="Calibri" w:eastAsia="Calibri" w:hAnsi="Calibri" w:cs="Calibri"/>
        </w:rPr>
        <w:t>. A prominent adaptive explanation of this trend is that slow growth buffers the risk of energy shortfalls in seasonal and unpredictable environments (Janson Van Schaik 2003). Blue monkeys (</w:t>
      </w:r>
      <w:r>
        <w:rPr>
          <w:rFonts w:ascii="Calibri" w:eastAsia="Calibri" w:hAnsi="Calibri" w:cs="Calibri"/>
          <w:i/>
        </w:rPr>
        <w:t>Cercopithecus mitis</w:t>
      </w:r>
      <w:r>
        <w:rPr>
          <w:rFonts w:ascii="Calibri" w:eastAsia="Calibri" w:hAnsi="Calibri" w:cs="Calibri"/>
        </w:rPr>
        <w:t xml:space="preserve">) demonstrate a particularly prolonged juvenile period even among primates, ranging from 1.5 to 10 years old (unpublished data), and a slow life history overall </w:t>
      </w:r>
      <w:hyperlink r:id="rId55">
        <w:r>
          <w:rPr>
            <w:rFonts w:ascii="Calibri" w:eastAsia="Calibri" w:hAnsi="Calibri" w:cs="Calibri"/>
          </w:rPr>
          <w:t>(Cords &amp; Chowdhury, 2010)</w:t>
        </w:r>
      </w:hyperlink>
      <w:r>
        <w:rPr>
          <w:rFonts w:ascii="Calibri" w:eastAsia="Calibri" w:hAnsi="Calibri" w:cs="Calibri"/>
        </w:rPr>
        <w:t xml:space="preserve">. Given their suggested slow rate of growth, we expect that juvenile blue monkeys are able to withstand and recover from energetic shocks to growth. Nevertheless, juvenile blue monkeys do experience energetic shortfalls, as their hypothalamic-pituitary-adrenal (HPA) axis activity is attuned to energy balance such that </w:t>
      </w:r>
      <w:r>
        <w:rPr>
          <w:rFonts w:ascii="Calibri" w:eastAsia="Calibri" w:hAnsi="Calibri" w:cs="Calibri"/>
          <w:highlight w:val="white"/>
        </w:rPr>
        <w:t xml:space="preserve">glucocorticoids increase during low energy states </w:t>
      </w:r>
      <w:hyperlink r:id="rId56">
        <w:r>
          <w:rPr>
            <w:rFonts w:ascii="Calibri" w:eastAsia="Calibri" w:hAnsi="Calibri" w:cs="Calibri"/>
            <w:highlight w:val="white"/>
          </w:rPr>
          <w:t>(Thompson et al., 2020)</w:t>
        </w:r>
      </w:hyperlink>
      <w:r>
        <w:rPr>
          <w:rFonts w:ascii="Calibri" w:eastAsia="Calibri" w:hAnsi="Calibri" w:cs="Calibri"/>
        </w:rPr>
        <w:t xml:space="preserve">. As such, slow growth may be an adaptive response to low resource availability in their environment. We expect to see limitations to investment in either immunity or growth, depending on which is more highly prioritized. </w:t>
      </w:r>
    </w:p>
    <w:p w14:paraId="4568F509" w14:textId="54F038FC" w:rsidR="00761594" w:rsidRDefault="00000000">
      <w:pPr>
        <w:ind w:firstLine="720"/>
        <w:rPr>
          <w:rFonts w:ascii="Calibri" w:eastAsia="Calibri" w:hAnsi="Calibri" w:cs="Calibri"/>
        </w:rPr>
      </w:pPr>
      <w:r>
        <w:rPr>
          <w:rFonts w:ascii="Calibri" w:eastAsia="Calibri" w:hAnsi="Calibri" w:cs="Calibri"/>
        </w:rPr>
        <w:t xml:space="preserve">In this study, we aim to examine the energetic costs and constraints associated with cellular immunity during juvenile development in blue monkeys. Our study had two main aims, to study the: </w:t>
      </w:r>
      <w:r>
        <w:rPr>
          <w:rFonts w:ascii="Calibri" w:eastAsia="Calibri" w:hAnsi="Calibri" w:cs="Calibri"/>
          <w:b/>
        </w:rPr>
        <w:t>1) Costs of immune activity</w:t>
      </w:r>
      <w:r>
        <w:rPr>
          <w:rFonts w:ascii="Calibri" w:eastAsia="Calibri" w:hAnsi="Calibri" w:cs="Calibri"/>
        </w:rPr>
        <w:t xml:space="preserve">; and the </w:t>
      </w:r>
      <w:r>
        <w:rPr>
          <w:rFonts w:ascii="Calibri" w:eastAsia="Calibri" w:hAnsi="Calibri" w:cs="Calibri"/>
          <w:b/>
        </w:rPr>
        <w:t>2) Constraints on immune activity</w:t>
      </w:r>
      <w:r>
        <w:rPr>
          <w:rFonts w:ascii="Calibri" w:eastAsia="Calibri" w:hAnsi="Calibri" w:cs="Calibri"/>
        </w:rPr>
        <w:t xml:space="preserve">. If investment in cellular immune activity is highly prioritized at the cost of growth, </w:t>
      </w:r>
      <w:r>
        <w:rPr>
          <w:rFonts w:ascii="Calibri" w:eastAsia="Calibri" w:hAnsi="Calibri" w:cs="Calibri"/>
          <w:highlight w:val="white"/>
        </w:rPr>
        <w:t xml:space="preserve">we expect that higher concentrations of urinary neopterin will correspond with lower </w:t>
      </w:r>
      <w:r w:rsidR="002C1B12">
        <w:rPr>
          <w:rFonts w:ascii="Calibri" w:eastAsia="Calibri" w:hAnsi="Calibri" w:cs="Calibri"/>
          <w:highlight w:val="white"/>
        </w:rPr>
        <w:t>C-peptide</w:t>
      </w:r>
      <w:r>
        <w:rPr>
          <w:rFonts w:ascii="Calibri" w:eastAsia="Calibri" w:hAnsi="Calibri" w:cs="Calibri"/>
          <w:highlight w:val="white"/>
        </w:rPr>
        <w:t xml:space="preserve"> and smaller changes in lean body mass over time. We further expect the relationship between immune activity and growth to vary at different timescales, such that acute investment in immunity, such as in response to acute infections, will compromise short-term vs. long-term growth in lean muscle. Alternatively, if investment in immune activity is energetically constrained, we expect urinary neopterin to increase with energy balance and lean body mass. Lastly, in the event of constraints, we aimed to examine whether immunity is limited by low energy balance itself or via the immunosuppressive effects of glucocorticoids. </w:t>
      </w:r>
    </w:p>
    <w:p w14:paraId="668D3994" w14:textId="77777777" w:rsidR="00761594" w:rsidRDefault="00761594">
      <w:pPr>
        <w:rPr>
          <w:rFonts w:ascii="Calibri" w:eastAsia="Calibri" w:hAnsi="Calibri" w:cs="Calibri"/>
          <w:color w:val="212121"/>
          <w:highlight w:val="white"/>
        </w:rPr>
      </w:pPr>
    </w:p>
    <w:p w14:paraId="52E6BE67" w14:textId="77777777" w:rsidR="00761594" w:rsidRDefault="00000000">
      <w:pPr>
        <w:rPr>
          <w:rFonts w:ascii="Calibri" w:eastAsia="Calibri" w:hAnsi="Calibri" w:cs="Calibri"/>
          <w:b/>
        </w:rPr>
      </w:pPr>
      <w:r>
        <w:rPr>
          <w:rFonts w:ascii="Calibri" w:eastAsia="Calibri" w:hAnsi="Calibri" w:cs="Calibri"/>
          <w:b/>
        </w:rPr>
        <w:t>Methods</w:t>
      </w:r>
    </w:p>
    <w:p w14:paraId="792354E0" w14:textId="77777777" w:rsidR="00761594" w:rsidRDefault="00000000">
      <w:pPr>
        <w:rPr>
          <w:rFonts w:ascii="Calibri" w:eastAsia="Calibri" w:hAnsi="Calibri" w:cs="Calibri"/>
          <w:i/>
        </w:rPr>
      </w:pPr>
      <w:r>
        <w:rPr>
          <w:rFonts w:ascii="Calibri" w:eastAsia="Calibri" w:hAnsi="Calibri" w:cs="Calibri"/>
          <w:i/>
        </w:rPr>
        <w:t>Study Site</w:t>
      </w:r>
    </w:p>
    <w:p w14:paraId="5B7BFEF3" w14:textId="77777777" w:rsidR="00761594" w:rsidRDefault="00000000">
      <w:pPr>
        <w:ind w:firstLine="720"/>
        <w:rPr>
          <w:rFonts w:ascii="Calibri" w:eastAsia="Calibri" w:hAnsi="Calibri" w:cs="Calibri"/>
        </w:rPr>
      </w:pPr>
      <w:r>
        <w:rPr>
          <w:rFonts w:ascii="Calibri" w:eastAsia="Calibri" w:hAnsi="Calibri" w:cs="Calibri"/>
        </w:rPr>
        <w:t xml:space="preserve">The wild study population resides in the Isecheno area of the Kakamega Forest, Kenya. Data were collected on 41 juveniles (20 females and 21 males, mean age 4.5 ± 1.7 yrs) for 8 months from Aug 2015 to March 2016. Subjects lived in 3 neighboring social groups (mean group sizes: 37-65). Subjects were individually identifiable by their natural physical variation and their ages were known from precise, long-term demographic records on the study population </w:t>
      </w:r>
      <w:hyperlink r:id="rId57">
        <w:r>
          <w:rPr>
            <w:rFonts w:ascii="Calibri" w:eastAsia="Calibri" w:hAnsi="Calibri" w:cs="Calibri"/>
          </w:rPr>
          <w:t>(Cords, 2012)</w:t>
        </w:r>
      </w:hyperlink>
      <w:r>
        <w:rPr>
          <w:rFonts w:ascii="Calibri" w:eastAsia="Calibri" w:hAnsi="Calibri" w:cs="Calibri"/>
        </w:rPr>
        <w:t>. A team of 4 observers, including author NTG, collected all biomarker and behavioral samples after a training period of 2-months to ensure reliable identification of all subjects.</w:t>
      </w:r>
    </w:p>
    <w:p w14:paraId="3EF08792" w14:textId="77777777" w:rsidR="00761594" w:rsidRDefault="00761594">
      <w:pPr>
        <w:rPr>
          <w:rFonts w:ascii="Calibri" w:eastAsia="Calibri" w:hAnsi="Calibri" w:cs="Calibri"/>
        </w:rPr>
      </w:pPr>
    </w:p>
    <w:p w14:paraId="2C8DB6F8" w14:textId="47B4D823" w:rsidR="00761594" w:rsidRDefault="00000000">
      <w:pPr>
        <w:rPr>
          <w:rFonts w:ascii="Calibri" w:eastAsia="Calibri" w:hAnsi="Calibri" w:cs="Calibri"/>
          <w:i/>
        </w:rPr>
      </w:pPr>
      <w:r>
        <w:rPr>
          <w:rFonts w:ascii="Calibri" w:eastAsia="Calibri" w:hAnsi="Calibri" w:cs="Calibri"/>
          <w:i/>
        </w:rPr>
        <w:t>Behavioral data collection</w:t>
      </w:r>
    </w:p>
    <w:p w14:paraId="53B11425" w14:textId="77777777" w:rsidR="00761594" w:rsidRDefault="00000000">
      <w:pPr>
        <w:ind w:firstLine="720"/>
        <w:rPr>
          <w:rFonts w:ascii="Calibri" w:eastAsia="Calibri" w:hAnsi="Calibri" w:cs="Calibri"/>
        </w:rPr>
      </w:pPr>
      <w:r>
        <w:rPr>
          <w:rFonts w:ascii="Calibri" w:eastAsia="Calibri" w:hAnsi="Calibri" w:cs="Calibri"/>
        </w:rPr>
        <w:t xml:space="preserve">Observers in the field (including NTG) conducted 20 minute focal follows, during which they recorded a subject’s activity at 1 minute intervals (e.g. resting, feeding, locomoting). Follows occurred </w:t>
      </w:r>
      <w:r>
        <w:rPr>
          <w:rFonts w:ascii="Calibri" w:eastAsia="Calibri" w:hAnsi="Calibri" w:cs="Calibri"/>
        </w:rPr>
        <w:lastRenderedPageBreak/>
        <w:t>between 07:30 and 17:00, and focal subjects were targeted for even progression in focal sampling over the month and during morning, midday, and afternoon periods. In total, observers collected 1591 h of activity budget data, with an average of 39 ± 3.1 hours per subject.</w:t>
      </w:r>
    </w:p>
    <w:p w14:paraId="4B5EB74B" w14:textId="77777777" w:rsidR="00761594" w:rsidRDefault="00761594">
      <w:pPr>
        <w:rPr>
          <w:rFonts w:ascii="Calibri" w:eastAsia="Calibri" w:hAnsi="Calibri" w:cs="Calibri"/>
        </w:rPr>
      </w:pPr>
    </w:p>
    <w:p w14:paraId="0BAA88A6" w14:textId="77777777" w:rsidR="00761594" w:rsidRDefault="00000000">
      <w:pPr>
        <w:rPr>
          <w:rFonts w:ascii="Calibri" w:eastAsia="Calibri" w:hAnsi="Calibri" w:cs="Calibri"/>
          <w:i/>
        </w:rPr>
      </w:pPr>
      <w:r>
        <w:rPr>
          <w:rFonts w:ascii="Calibri" w:eastAsia="Calibri" w:hAnsi="Calibri" w:cs="Calibri"/>
          <w:i/>
        </w:rPr>
        <w:t>Urine and fecal sample collection and preparation</w:t>
      </w:r>
    </w:p>
    <w:p w14:paraId="2848F7F6" w14:textId="77777777" w:rsidR="00761594" w:rsidRDefault="00000000">
      <w:pPr>
        <w:ind w:firstLine="720"/>
        <w:rPr>
          <w:rFonts w:ascii="Calibri" w:eastAsia="Calibri" w:hAnsi="Calibri" w:cs="Calibri"/>
        </w:rPr>
      </w:pPr>
      <w:r>
        <w:rPr>
          <w:rFonts w:ascii="Calibri" w:eastAsia="Calibri" w:hAnsi="Calibri" w:cs="Calibri"/>
        </w:rPr>
        <w:t xml:space="preserve">Biological samples were collected between the hours of 07:30 and 17:00, </w:t>
      </w:r>
      <w:r>
        <w:rPr>
          <w:rFonts w:ascii="Calibri" w:eastAsia="Calibri" w:hAnsi="Calibri" w:cs="Calibri"/>
          <w:i/>
        </w:rPr>
        <w:t>ad libitum</w:t>
      </w:r>
      <w:r>
        <w:rPr>
          <w:rFonts w:ascii="Calibri" w:eastAsia="Calibri" w:hAnsi="Calibri" w:cs="Calibri"/>
        </w:rPr>
        <w:t xml:space="preserve"> after excretion by identified subjects. Additional sampling targeted subjects to ensure that each was sampled approximately once every 2 weeks. Urine samples that were uncontaminated by dirt, feces, or urine from other animals were pipetted from leaves or caught on a plastic sheet and transferred to a 1.5 ml polypropylene tube. Fecal samples that were uncontaminated with urine were fully homogenized with a clean stick upon collection and approximately 1 g of feces were transferred into a 1.5-15 ml plastic tube. Both types of samples were stored on icepacks and in the dark until transferred to a -20ºC solar freezer within 4 hours of collection. Samples remained frozen until they were shipped on ice to New York University for further processing. In total, observers collected 620 urine and 627 fecal samples, with each subject sampled on average 2 ± 0.8 urine and 2 ± 0.7 fecal samples per month.</w:t>
      </w:r>
    </w:p>
    <w:p w14:paraId="125D5FED" w14:textId="54E5846D" w:rsidR="00761594" w:rsidRDefault="00000000">
      <w:pPr>
        <w:ind w:firstLine="720"/>
        <w:rPr>
          <w:rFonts w:ascii="Calibri" w:eastAsia="Calibri" w:hAnsi="Calibri" w:cs="Calibri"/>
        </w:rPr>
      </w:pPr>
      <w:r>
        <w:rPr>
          <w:rFonts w:ascii="Calibri" w:eastAsia="Calibri" w:hAnsi="Calibri" w:cs="Calibri"/>
        </w:rPr>
        <w:t xml:space="preserve">NTG extracted glucocorticoid metabolites from feces at NYU following the protocols of Heistermann 1995 and Palme 2013. For full details of the extraction procedure see Thompson et al. 2020. NTG initially thawed urine samples to assay for creatinine by diluting urine samples 1:10 and following a standard Jaffe reaction, and then aliquoted remaining sample for urinary </w:t>
      </w:r>
      <w:r w:rsidR="002C1B12">
        <w:rPr>
          <w:rFonts w:ascii="Calibri" w:eastAsia="Calibri" w:hAnsi="Calibri" w:cs="Calibri"/>
        </w:rPr>
        <w:t>C-peptide</w:t>
      </w:r>
      <w:r>
        <w:rPr>
          <w:rFonts w:ascii="Calibri" w:eastAsia="Calibri" w:hAnsi="Calibri" w:cs="Calibri"/>
        </w:rPr>
        <w:t xml:space="preserve"> and neopterin assays. Sample specific gravity (SG) was also measured using an Atago</w:t>
      </w:r>
      <w:r>
        <w:rPr>
          <w:rFonts w:ascii="Calibri" w:eastAsia="Calibri" w:hAnsi="Calibri" w:cs="Calibri"/>
          <w:vertAlign w:val="superscript"/>
        </w:rPr>
        <w:t>TM</w:t>
      </w:r>
      <w:r>
        <w:rPr>
          <w:rFonts w:ascii="Calibri" w:eastAsia="Calibri" w:hAnsi="Calibri" w:cs="Calibri"/>
        </w:rPr>
        <w:t xml:space="preserve"> handheld refractometer.</w:t>
      </w:r>
    </w:p>
    <w:p w14:paraId="2335CC7C" w14:textId="77777777" w:rsidR="00761594" w:rsidRDefault="00761594">
      <w:pPr>
        <w:rPr>
          <w:rFonts w:ascii="Calibri" w:eastAsia="Calibri" w:hAnsi="Calibri" w:cs="Calibri"/>
        </w:rPr>
      </w:pPr>
    </w:p>
    <w:p w14:paraId="61F26C2A" w14:textId="77777777" w:rsidR="00761594" w:rsidRDefault="00000000">
      <w:pPr>
        <w:rPr>
          <w:rFonts w:ascii="Calibri" w:eastAsia="Calibri" w:hAnsi="Calibri" w:cs="Calibri"/>
          <w:i/>
        </w:rPr>
      </w:pPr>
      <w:r>
        <w:rPr>
          <w:rFonts w:ascii="Calibri" w:eastAsia="Calibri" w:hAnsi="Calibri" w:cs="Calibri"/>
          <w:i/>
        </w:rPr>
        <w:t>Enzyme immunoassays</w:t>
      </w:r>
    </w:p>
    <w:p w14:paraId="2C2C6D29" w14:textId="77777777" w:rsidR="00761594" w:rsidRDefault="00000000">
      <w:pPr>
        <w:ind w:firstLine="720"/>
        <w:rPr>
          <w:rFonts w:ascii="Calibri" w:eastAsia="Calibri" w:hAnsi="Calibri" w:cs="Calibri"/>
        </w:rPr>
      </w:pPr>
      <w:r>
        <w:rPr>
          <w:rFonts w:ascii="Calibri" w:eastAsia="Calibri" w:hAnsi="Calibri" w:cs="Calibri"/>
        </w:rPr>
        <w:t>NTG and JPH assayed samples for urinary neopterin with Tecan IBL</w:t>
      </w:r>
      <w:r>
        <w:rPr>
          <w:rFonts w:ascii="Calibri" w:eastAsia="Calibri" w:hAnsi="Calibri" w:cs="Calibri"/>
          <w:vertAlign w:val="superscript"/>
        </w:rPr>
        <w:t>TM</w:t>
      </w:r>
      <w:r>
        <w:rPr>
          <w:rFonts w:ascii="Calibri" w:eastAsia="Calibri" w:hAnsi="Calibri" w:cs="Calibri"/>
        </w:rPr>
        <w:t xml:space="preserve"> ELISA kits (product RE59321) at New York University from Jan 2017 – May 2018. Samples were diluted 1:10 - 1:80 in ELISA kit buffer and assayed following manufacturer protocols. Serial dilutions demonstrated parallelism with the standard curve. The average intra-assay coefficient of variation (CV) for neopterin was 7.9% (N = 561 samples), and inter-assay CVs of 6.7% and 17% for high and low quality controls (N = 16 plates). Because of varying and limited urine sample volume, not all urine samples were able to be assayed for neopterin. The resulting coverage was 1.91 ± 0.75 neopterin samples per subject/month.</w:t>
      </w:r>
    </w:p>
    <w:p w14:paraId="3F6498EF" w14:textId="5FD6174F" w:rsidR="00761594" w:rsidRDefault="00000000">
      <w:pPr>
        <w:ind w:firstLine="720"/>
        <w:rPr>
          <w:rFonts w:ascii="Calibri" w:eastAsia="Calibri" w:hAnsi="Calibri" w:cs="Calibri"/>
        </w:rPr>
      </w:pPr>
      <w:r>
        <w:rPr>
          <w:rFonts w:ascii="Calibri" w:eastAsia="Calibri" w:hAnsi="Calibri" w:cs="Calibri"/>
        </w:rPr>
        <w:t xml:space="preserve">NTG assayed </w:t>
      </w:r>
      <w:r w:rsidR="002C1B12">
        <w:rPr>
          <w:rFonts w:ascii="Calibri" w:eastAsia="Calibri" w:hAnsi="Calibri" w:cs="Calibri"/>
        </w:rPr>
        <w:t>C-peptide</w:t>
      </w:r>
      <w:r>
        <w:rPr>
          <w:rFonts w:ascii="Calibri" w:eastAsia="Calibri" w:hAnsi="Calibri" w:cs="Calibri"/>
        </w:rPr>
        <w:t xml:space="preserve"> of insulin in urine samples (uCP) using a Merck Millipore</w:t>
      </w:r>
      <w:r>
        <w:rPr>
          <w:rFonts w:ascii="Calibri" w:eastAsia="Calibri" w:hAnsi="Calibri" w:cs="Calibri"/>
          <w:vertAlign w:val="superscript"/>
        </w:rPr>
        <w:t>TM</w:t>
      </w:r>
      <w:r>
        <w:rPr>
          <w:rFonts w:ascii="Calibri" w:eastAsia="Calibri" w:hAnsi="Calibri" w:cs="Calibri"/>
        </w:rPr>
        <w:t xml:space="preserve"> RIA kit at Rutgers University. Samples were diluted 1:2 to 1:20 in RIA kit buffer prior to assay based on sample specific gravity (SG) and assayed following manufacturer’s protocols. Average inter-assay CV was 4.4% (N = 612) and inter-assay CVs were 3.92% and 3.78% for high and low quality controls (N = 9 batches). For further details of uCP assays see</w:t>
      </w:r>
      <w:r>
        <w:rPr>
          <w:rFonts w:ascii="Calibri" w:eastAsia="Calibri" w:hAnsi="Calibri" w:cs="Calibri"/>
          <w:i/>
        </w:rPr>
        <w:t xml:space="preserve"> </w:t>
      </w:r>
      <w:r>
        <w:rPr>
          <w:rFonts w:ascii="Calibri" w:eastAsia="Calibri" w:hAnsi="Calibri" w:cs="Calibri"/>
        </w:rPr>
        <w:t xml:space="preserve">Thompson et al. </w:t>
      </w:r>
      <w:hyperlink r:id="rId58">
        <w:r>
          <w:rPr>
            <w:rFonts w:ascii="Calibri" w:eastAsia="Calibri" w:hAnsi="Calibri" w:cs="Calibri"/>
          </w:rPr>
          <w:t>(2020)</w:t>
        </w:r>
      </w:hyperlink>
      <w:r>
        <w:rPr>
          <w:rFonts w:ascii="Calibri" w:eastAsia="Calibri" w:hAnsi="Calibri" w:cs="Calibri"/>
        </w:rPr>
        <w:t xml:space="preserve">. uCP and neopterin concentrations were corrected for SG following Miller et al. </w:t>
      </w:r>
      <w:hyperlink r:id="rId59">
        <w:r>
          <w:rPr>
            <w:rFonts w:ascii="Calibri" w:eastAsia="Calibri" w:hAnsi="Calibri" w:cs="Calibri"/>
          </w:rPr>
          <w:t>(2004)</w:t>
        </w:r>
      </w:hyperlink>
      <w:r>
        <w:rPr>
          <w:rFonts w:ascii="Calibri" w:eastAsia="Calibri" w:hAnsi="Calibri" w:cs="Calibri"/>
        </w:rPr>
        <w:t>, where a given marker concentration was multiplied by a factor of the average sample SG divided by the given sample’s SG. Samples with SG &lt; 1.003 were removed as too dilute (n=1), i.e., approaching the SG of pure water itself.</w:t>
      </w:r>
    </w:p>
    <w:p w14:paraId="114BD6E7" w14:textId="77777777" w:rsidR="00761594" w:rsidRDefault="00000000">
      <w:pPr>
        <w:ind w:firstLine="720"/>
        <w:rPr>
          <w:rFonts w:ascii="Calibri" w:eastAsia="Calibri" w:hAnsi="Calibri" w:cs="Calibri"/>
        </w:rPr>
      </w:pPr>
      <w:r>
        <w:rPr>
          <w:rFonts w:ascii="Calibri" w:eastAsia="Calibri" w:hAnsi="Calibri" w:cs="Calibri"/>
        </w:rPr>
        <w:t xml:space="preserve">NTG assayed fecal samples for the immunoreactive fecal glucocorticoid (fGC) metabolite 11β-hydroxyetiocholanolone at the German Primate Center, Göttingen, Germany. Samples were diluted 1:80 or 1:800 and assayed according to the detailed protocol in Heisterman et al 2004. For full details surrounding the validity of the enzyme-linked immunoassay for fGCs see Thompson et al. </w:t>
      </w:r>
      <w:hyperlink r:id="rId60">
        <w:r>
          <w:rPr>
            <w:rFonts w:ascii="Calibri" w:eastAsia="Calibri" w:hAnsi="Calibri" w:cs="Calibri"/>
          </w:rPr>
          <w:t>(2020)</w:t>
        </w:r>
      </w:hyperlink>
      <w:r>
        <w:rPr>
          <w:rFonts w:ascii="Calibri" w:eastAsia="Calibri" w:hAnsi="Calibri" w:cs="Calibri"/>
        </w:rPr>
        <w:t xml:space="preserve">.  Intra- </w:t>
      </w:r>
      <w:r>
        <w:rPr>
          <w:rFonts w:ascii="Calibri" w:eastAsia="Calibri" w:hAnsi="Calibri" w:cs="Calibri"/>
        </w:rPr>
        <w:lastRenderedPageBreak/>
        <w:t>and inter-assay CVs were evaluated by replicated high and low quality controls run in each assay, with intra-assay CVs of 3.9% and 6% for high and low quality controls (N = 20 plates) and inter-assay CVs of 8.9% and 11.9% (N = 42 wells).</w:t>
      </w:r>
    </w:p>
    <w:p w14:paraId="258019BC" w14:textId="77777777" w:rsidR="00761594" w:rsidRDefault="00761594">
      <w:pPr>
        <w:rPr>
          <w:rFonts w:ascii="Calibri" w:eastAsia="Calibri" w:hAnsi="Calibri" w:cs="Calibri"/>
        </w:rPr>
      </w:pPr>
    </w:p>
    <w:p w14:paraId="3E681584" w14:textId="77777777" w:rsidR="00761594" w:rsidRDefault="00000000">
      <w:pPr>
        <w:rPr>
          <w:rFonts w:ascii="Calibri" w:eastAsia="Calibri" w:hAnsi="Calibri" w:cs="Calibri"/>
        </w:rPr>
      </w:pPr>
      <w:r>
        <w:rPr>
          <w:rFonts w:ascii="Calibri" w:eastAsia="Calibri" w:hAnsi="Calibri" w:cs="Calibri"/>
          <w:i/>
        </w:rPr>
        <w:t>Data analysis</w:t>
      </w:r>
    </w:p>
    <w:p w14:paraId="3A0E4916" w14:textId="77777777" w:rsidR="00761594" w:rsidRDefault="00000000">
      <w:pPr>
        <w:ind w:firstLine="720"/>
        <w:rPr>
          <w:rFonts w:ascii="Calibri" w:eastAsia="Calibri" w:hAnsi="Calibri" w:cs="Calibri"/>
        </w:rPr>
      </w:pPr>
      <w:r>
        <w:rPr>
          <w:rFonts w:ascii="Calibri" w:eastAsia="Calibri" w:hAnsi="Calibri" w:cs="Calibri"/>
        </w:rPr>
        <w:t>Given circadian rhythms in physiological activity, we evaluated the effects of the time of sample collection on uCP, neopterin, and fGC concentrations using a generalized linear mixed effects model (lme4 v 1.1-31, lmerTest v 3.1-3) with a gamma error distribution and log link. Marker concentrations were regressed against hours from midnight with random slopes and intercepts by subject ID. Time of day was negatively correlated with uCP, and so uCP concentrations were expressed as residuals from predicted values, derived from population average slopes and intercepts. These time adjusted residuals were made positive by adding to them the absolute value of the minimum time-adjusted residual and an infinitesimal value of 0.0001 to ensure values &gt; 0 for log transformation.</w:t>
      </w:r>
    </w:p>
    <w:p w14:paraId="5116AC8E" w14:textId="77777777" w:rsidR="00761594" w:rsidRDefault="00000000">
      <w:pPr>
        <w:ind w:firstLine="720"/>
        <w:rPr>
          <w:rFonts w:ascii="Calibri" w:eastAsia="Calibri" w:hAnsi="Calibri" w:cs="Calibri"/>
          <w:highlight w:val="yellow"/>
        </w:rPr>
      </w:pPr>
      <w:r>
        <w:rPr>
          <w:rFonts w:ascii="Calibri" w:eastAsia="Calibri" w:hAnsi="Calibri" w:cs="Calibri"/>
        </w:rPr>
        <w:t>We calculated estimated lean body mass (ELBM) as residuals of observed to expected creatinine concentrations for a given SG, according to the formula presented in Emery Thompson (2012, 2020 PTRSB) and validated in multiple primates species (e.g. orangutans,  O’Connell 2021, chimpanzees, Emery Thompson et al 2012). Residuals of observed creatinine values were calculated relative to predicted creatinine values, derived from a linear regression of creatinine ng/ml predicted by linear and quadratic terms of SG (minus 1). Raw creatinine concentrations were unrelated to physical activities (i.e., time spent resting, feeding, locomoting, each p &gt; 0.05). Residual creatinine increased with age in both individual samples (ß age = 0.04 ± 0.008, p &lt;0.0001) and as monthly average residuals (ß age = 0.04 ± 0.009, p &lt;0.0001), and was unrelated to subject sex (sample: ß sex = 0.003 ± 0.03, p &gt; 0.05: monthly average: ß sex = 0.004 ± 0.03 p &gt; 0.05). Creatinine residuals also positively corresponded with uCP at the sample (ß ELBM</w:t>
      </w:r>
      <w:r>
        <w:rPr>
          <w:rFonts w:ascii="Calibri" w:eastAsia="Calibri" w:hAnsi="Calibri" w:cs="Calibri"/>
          <w:vertAlign w:val="subscript"/>
        </w:rPr>
        <w:t>sample</w:t>
      </w:r>
      <w:r>
        <w:rPr>
          <w:rFonts w:ascii="Calibri" w:eastAsia="Calibri" w:hAnsi="Calibri" w:cs="Calibri"/>
        </w:rPr>
        <w:t xml:space="preserve"> = 0.013 ± 0.005, p &lt; 0.05) and monthly average levels (ß ELBM</w:t>
      </w:r>
      <w:r>
        <w:rPr>
          <w:rFonts w:ascii="Calibri" w:eastAsia="Calibri" w:hAnsi="Calibri" w:cs="Calibri"/>
          <w:vertAlign w:val="subscript"/>
        </w:rPr>
        <w:t>month</w:t>
      </w:r>
      <w:r>
        <w:rPr>
          <w:rFonts w:ascii="Calibri" w:eastAsia="Calibri" w:hAnsi="Calibri" w:cs="Calibri"/>
        </w:rPr>
        <w:t xml:space="preserve"> = 0.025 ± 0.01, p &lt; 0.05). These results suggest that our calculation of ELBM represented an accurate estimate of lean body mass during development in this species. </w:t>
      </w:r>
    </w:p>
    <w:p w14:paraId="6DE69C13" w14:textId="77777777" w:rsidR="00761594" w:rsidRDefault="00000000">
      <w:pPr>
        <w:ind w:firstLine="720"/>
        <w:rPr>
          <w:rFonts w:ascii="Calibri" w:eastAsia="Calibri" w:hAnsi="Calibri" w:cs="Calibri"/>
        </w:rPr>
      </w:pPr>
      <w:r>
        <w:rPr>
          <w:rFonts w:ascii="Calibri" w:eastAsia="Calibri" w:hAnsi="Calibri" w:cs="Calibri"/>
        </w:rPr>
        <w:t>To represent subjects’ general physiological state, urinary neopterin, uCP, fGCs, and ELBM were averaged per subject by month for several analyses (Tables 1 &amp; 2). This time frame further allowed pairing between urinary markers, fecal markers, and monthly activity budgets. To examine longer-term effects of immune activity on growth, we calculated monthly change in lean body mass (∆ELBM</w:t>
      </w:r>
      <w:r>
        <w:rPr>
          <w:rFonts w:ascii="Calibri" w:eastAsia="Calibri" w:hAnsi="Calibri" w:cs="Calibri"/>
          <w:vertAlign w:val="subscript"/>
        </w:rPr>
        <w:t>month</w:t>
      </w:r>
      <w:r>
        <w:rPr>
          <w:rFonts w:ascii="Calibri" w:eastAsia="Calibri" w:hAnsi="Calibri" w:cs="Calibri"/>
        </w:rPr>
        <w:t xml:space="preserve"> = month</w:t>
      </w:r>
      <w:r>
        <w:rPr>
          <w:rFonts w:ascii="Calibri" w:eastAsia="Calibri" w:hAnsi="Calibri" w:cs="Calibri"/>
          <w:vertAlign w:val="subscript"/>
        </w:rPr>
        <w:t>1</w:t>
      </w:r>
      <w:r>
        <w:rPr>
          <w:rFonts w:ascii="Calibri" w:eastAsia="Calibri" w:hAnsi="Calibri" w:cs="Calibri"/>
        </w:rPr>
        <w:t xml:space="preserve"> - month</w:t>
      </w:r>
      <w:r>
        <w:rPr>
          <w:rFonts w:ascii="Calibri" w:eastAsia="Calibri" w:hAnsi="Calibri" w:cs="Calibri"/>
          <w:vertAlign w:val="subscript"/>
        </w:rPr>
        <w:t>0</w:t>
      </w:r>
      <w:r>
        <w:rPr>
          <w:rFonts w:ascii="Calibri" w:eastAsia="Calibri" w:hAnsi="Calibri" w:cs="Calibri"/>
        </w:rPr>
        <w:t>).  To assess short-term effects of immune activity on growth, we calculated change in lean body mass by subtracting ELBM of given sample at t</w:t>
      </w:r>
      <w:r>
        <w:rPr>
          <w:rFonts w:ascii="Calibri" w:eastAsia="Calibri" w:hAnsi="Calibri" w:cs="Calibri"/>
          <w:vertAlign w:val="subscript"/>
        </w:rPr>
        <w:t xml:space="preserve">0 </w:t>
      </w:r>
      <w:r>
        <w:rPr>
          <w:rFonts w:ascii="Calibri" w:eastAsia="Calibri" w:hAnsi="Calibri" w:cs="Calibri"/>
        </w:rPr>
        <w:t>from ELBM of the subsequent sample at t</w:t>
      </w:r>
      <w:r>
        <w:rPr>
          <w:rFonts w:ascii="Calibri" w:eastAsia="Calibri" w:hAnsi="Calibri" w:cs="Calibri"/>
          <w:vertAlign w:val="subscript"/>
        </w:rPr>
        <w:t xml:space="preserve">1 </w:t>
      </w:r>
      <w:r>
        <w:rPr>
          <w:rFonts w:ascii="Calibri" w:eastAsia="Calibri" w:hAnsi="Calibri" w:cs="Calibri"/>
        </w:rPr>
        <w:t>(∆ELBM</w:t>
      </w:r>
      <w:r>
        <w:rPr>
          <w:rFonts w:ascii="Calibri" w:eastAsia="Calibri" w:hAnsi="Calibri" w:cs="Calibri"/>
          <w:vertAlign w:val="subscript"/>
        </w:rPr>
        <w:t>sample</w:t>
      </w:r>
      <w:r>
        <w:rPr>
          <w:rFonts w:ascii="Calibri" w:eastAsia="Calibri" w:hAnsi="Calibri" w:cs="Calibri"/>
        </w:rPr>
        <w:t xml:space="preserve"> = t</w:t>
      </w:r>
      <w:r>
        <w:rPr>
          <w:rFonts w:ascii="Calibri" w:eastAsia="Calibri" w:hAnsi="Calibri" w:cs="Calibri"/>
          <w:vertAlign w:val="subscript"/>
        </w:rPr>
        <w:t>1</w:t>
      </w:r>
      <w:r>
        <w:rPr>
          <w:rFonts w:ascii="Calibri" w:eastAsia="Calibri" w:hAnsi="Calibri" w:cs="Calibri"/>
        </w:rPr>
        <w:t xml:space="preserve"> - t</w:t>
      </w:r>
      <w:r>
        <w:rPr>
          <w:rFonts w:ascii="Calibri" w:eastAsia="Calibri" w:hAnsi="Calibri" w:cs="Calibri"/>
          <w:vertAlign w:val="subscript"/>
        </w:rPr>
        <w:t>0</w:t>
      </w:r>
      <w:r>
        <w:rPr>
          <w:rFonts w:ascii="Calibri" w:eastAsia="Calibri" w:hAnsi="Calibri" w:cs="Calibri"/>
        </w:rPr>
        <w:t>, interval of varying lengths). Total averages and standard deviations in biomarker concentrations (neopterin, uCP, lean body mass, and fGCs) are available in supplementary info (Table S1).</w:t>
      </w:r>
    </w:p>
    <w:p w14:paraId="42FE7299" w14:textId="77777777" w:rsidR="00761594" w:rsidRDefault="00000000">
      <w:pPr>
        <w:rPr>
          <w:rFonts w:ascii="Calibri" w:eastAsia="Calibri" w:hAnsi="Calibri" w:cs="Calibri"/>
        </w:rPr>
      </w:pPr>
      <w:r>
        <w:rPr>
          <w:rFonts w:ascii="Calibri" w:eastAsia="Calibri" w:hAnsi="Calibri" w:cs="Calibri"/>
        </w:rPr>
        <w:tab/>
        <w:t xml:space="preserve">As dominance rank can influence priority of access to energy-rich foods and is socially inherited from mothers in this species </w:t>
      </w:r>
      <w:hyperlink r:id="rId61">
        <w:r>
          <w:rPr>
            <w:rFonts w:ascii="Calibri" w:eastAsia="Calibri" w:hAnsi="Calibri" w:cs="Calibri"/>
          </w:rPr>
          <w:t>(Donabedian &amp; Cords, 2021; Klass &amp; Cords, 2015)</w:t>
        </w:r>
      </w:hyperlink>
      <w:r>
        <w:rPr>
          <w:rFonts w:ascii="Calibri" w:eastAsia="Calibri" w:hAnsi="Calibri" w:cs="Calibri"/>
        </w:rPr>
        <w:t xml:space="preserve">, we included subject maternal dominance rank as a predictor (Tables 1 &amp; 2). Ranks were calculated using the I&amp;SI method in DomiCalc by author MC </w:t>
      </w:r>
      <w:hyperlink r:id="rId62">
        <w:r>
          <w:rPr>
            <w:rFonts w:ascii="Calibri" w:eastAsia="Calibri" w:hAnsi="Calibri" w:cs="Calibri"/>
          </w:rPr>
          <w:t>(Schmid &amp; de Vries, 2013)</w:t>
        </w:r>
      </w:hyperlink>
      <w:r>
        <w:rPr>
          <w:rFonts w:ascii="Calibri" w:eastAsia="Calibri" w:hAnsi="Calibri" w:cs="Calibri"/>
        </w:rPr>
        <w:t xml:space="preserve"> and were based on clear winner-loser interactions using either data collected during the study period if mothers were still alive or during the mother’s last year of life. Maternal rank was expressed as the proportion of group females that a mother outranked, ranging from 0  to 1. Subject age was calculated at the mid-date of the month. Subjects’ times spent </w:t>
      </w:r>
      <w:r>
        <w:rPr>
          <w:rFonts w:ascii="Calibri" w:eastAsia="Calibri" w:hAnsi="Calibri" w:cs="Calibri"/>
        </w:rPr>
        <w:lastRenderedPageBreak/>
        <w:t xml:space="preserve">resting, feeding, and locomoting were calculated as the proportion of 1 min point samples of total observation time per month that subjects were engaged in that behavior. </w:t>
      </w:r>
    </w:p>
    <w:p w14:paraId="367F2E6D" w14:textId="77777777" w:rsidR="00761594" w:rsidRDefault="00000000">
      <w:pPr>
        <w:rPr>
          <w:rFonts w:ascii="Calibri" w:eastAsia="Calibri" w:hAnsi="Calibri" w:cs="Calibri"/>
        </w:rPr>
      </w:pPr>
      <w:r>
        <w:rPr>
          <w:rFonts w:ascii="Calibri" w:eastAsia="Calibri" w:hAnsi="Calibri" w:cs="Calibri"/>
        </w:rPr>
        <w:tab/>
        <w:t>Lastly, to statistically isolate the influence of body condition on investments in cellular immune function we aimed to control for seasonal and social variables that are likely to contribute to immune marker variation resulting from pathogen exposure. Monthly rainfall was calculated as a sum of local daily rainfall records in mm, collected by the Kenya Forest Service. Individuals’ total number of social partners was extracted from focal data and included unique partners with whom individuals rested in proximity, sat in contact, played, and groomed.</w:t>
      </w:r>
    </w:p>
    <w:p w14:paraId="4824D314" w14:textId="77777777" w:rsidR="00761594" w:rsidRDefault="00761594">
      <w:pPr>
        <w:rPr>
          <w:rFonts w:ascii="Calibri" w:eastAsia="Calibri" w:hAnsi="Calibri" w:cs="Calibri"/>
        </w:rPr>
      </w:pPr>
    </w:p>
    <w:p w14:paraId="47C28B0B" w14:textId="77777777" w:rsidR="00761594" w:rsidRDefault="00000000">
      <w:pPr>
        <w:rPr>
          <w:rFonts w:ascii="Calibri" w:eastAsia="Calibri" w:hAnsi="Calibri" w:cs="Calibri"/>
          <w:i/>
        </w:rPr>
      </w:pPr>
      <w:r>
        <w:rPr>
          <w:rFonts w:ascii="Calibri" w:eastAsia="Calibri" w:hAnsi="Calibri" w:cs="Calibri"/>
          <w:i/>
        </w:rPr>
        <w:t>Statistical analysis</w:t>
      </w:r>
    </w:p>
    <w:p w14:paraId="0D5D0A9A" w14:textId="77777777" w:rsidR="00761594" w:rsidRDefault="00000000">
      <w:pPr>
        <w:numPr>
          <w:ilvl w:val="0"/>
          <w:numId w:val="2"/>
        </w:numPr>
        <w:rPr>
          <w:rFonts w:ascii="Calibri" w:eastAsia="Calibri" w:hAnsi="Calibri" w:cs="Calibri"/>
        </w:rPr>
      </w:pPr>
      <w:r>
        <w:rPr>
          <w:rFonts w:ascii="Calibri" w:eastAsia="Calibri" w:hAnsi="Calibri" w:cs="Calibri"/>
          <w:b/>
        </w:rPr>
        <w:t>Costs of immune activity:</w:t>
      </w:r>
      <w:r>
        <w:rPr>
          <w:rFonts w:ascii="Calibri" w:eastAsia="Calibri" w:hAnsi="Calibri" w:cs="Calibri"/>
        </w:rPr>
        <w:t xml:space="preserve"> To evaluate the potential energetic costs of cellular immune activity, we constructed 3 linear mixed effects regression models using the lme4 (v 1.1-31) and lmerTest (v 3.1-3) packages (Table 1). All analyses were run in R version 4.2.1. Models 1 and 2 evaluated costs at broad levels of energy balance and growth. These included subjects’ monthly average concentrations of uCP and monthly growth (month</w:t>
      </w:r>
      <w:r>
        <w:rPr>
          <w:rFonts w:ascii="Calibri" w:eastAsia="Calibri" w:hAnsi="Calibri" w:cs="Calibri"/>
          <w:vertAlign w:val="subscript"/>
        </w:rPr>
        <w:t>2</w:t>
      </w:r>
      <w:r>
        <w:rPr>
          <w:rFonts w:ascii="Calibri" w:eastAsia="Calibri" w:hAnsi="Calibri" w:cs="Calibri"/>
        </w:rPr>
        <w:t>-month</w:t>
      </w:r>
      <w:r>
        <w:rPr>
          <w:rFonts w:ascii="Calibri" w:eastAsia="Calibri" w:hAnsi="Calibri" w:cs="Calibri"/>
          <w:vertAlign w:val="subscript"/>
        </w:rPr>
        <w:t>1</w:t>
      </w:r>
      <w:r>
        <w:rPr>
          <w:rFonts w:ascii="Calibri" w:eastAsia="Calibri" w:hAnsi="Calibri" w:cs="Calibri"/>
        </w:rPr>
        <w:t xml:space="preserve"> average ELBM) as responses, with subject age, sex, maternal rank, and monthly average neopterin concentrations as fixed effects. All models include random effects for subject ID and month to capture additional seasonal influences on biomarkers. We then examined the short term effects of immune activity on growth, using ∆ELBM as an outcome and sample neopterin concentration at t</w:t>
      </w:r>
      <w:r>
        <w:rPr>
          <w:rFonts w:ascii="Calibri" w:eastAsia="Calibri" w:hAnsi="Calibri" w:cs="Calibri"/>
          <w:vertAlign w:val="subscript"/>
        </w:rPr>
        <w:t xml:space="preserve">0 </w:t>
      </w:r>
      <w:r>
        <w:rPr>
          <w:rFonts w:ascii="Calibri" w:eastAsia="Calibri" w:hAnsi="Calibri" w:cs="Calibri"/>
        </w:rPr>
        <w:t>, age, and maternal rank as fixed effects (Model 3). Additionally, these models included time interval between samples at t</w:t>
      </w:r>
      <w:r>
        <w:rPr>
          <w:rFonts w:ascii="Calibri" w:eastAsia="Calibri" w:hAnsi="Calibri" w:cs="Calibri"/>
          <w:vertAlign w:val="subscript"/>
        </w:rPr>
        <w:t xml:space="preserve">0 </w:t>
      </w:r>
      <w:r>
        <w:rPr>
          <w:rFonts w:ascii="Calibri" w:eastAsia="Calibri" w:hAnsi="Calibri" w:cs="Calibri"/>
        </w:rPr>
        <w:t>and t</w:t>
      </w:r>
      <w:r>
        <w:rPr>
          <w:rFonts w:ascii="Calibri" w:eastAsia="Calibri" w:hAnsi="Calibri" w:cs="Calibri"/>
          <w:vertAlign w:val="subscript"/>
        </w:rPr>
        <w:t>1</w:t>
      </w:r>
      <w:r>
        <w:rPr>
          <w:rFonts w:ascii="Calibri" w:eastAsia="Calibri" w:hAnsi="Calibri" w:cs="Calibri"/>
        </w:rPr>
        <w:t xml:space="preserve"> (mean ± sd, 14 ± 11 days) as an independent fixed effect and in interaction with neopterin, as we expected the influence of acute concentrations in neopterin to wane with greater time between sampling. To further evaluate if juvenile behavior responded to the energetic demands of immune activity in a compensatory way, we evaluated monthly time spent resting, feeding, and locomoting as responses to average neopterin, age, sex, and maternal rank (models 4-6). </w:t>
      </w:r>
    </w:p>
    <w:p w14:paraId="456C751C" w14:textId="77777777" w:rsidR="00761594" w:rsidRDefault="00761594">
      <w:pPr>
        <w:ind w:firstLine="720"/>
        <w:rPr>
          <w:rFonts w:ascii="Calibri" w:eastAsia="Calibri" w:hAnsi="Calibri" w:cs="Calibri"/>
          <w:highlight w:val="yellow"/>
        </w:rPr>
      </w:pPr>
    </w:p>
    <w:p w14:paraId="6CD591BB" w14:textId="77777777" w:rsidR="00761594" w:rsidRDefault="00000000">
      <w:pPr>
        <w:rPr>
          <w:rFonts w:ascii="Calibri" w:eastAsia="Calibri" w:hAnsi="Calibri" w:cs="Calibri"/>
          <w:b/>
        </w:rPr>
      </w:pPr>
      <w:r>
        <w:rPr>
          <w:rFonts w:ascii="Calibri" w:eastAsia="Calibri" w:hAnsi="Calibri" w:cs="Calibri"/>
        </w:rPr>
        <w:t>Table 1. Generalized linear mixed model structures examining</w:t>
      </w:r>
      <w:r>
        <w:rPr>
          <w:rFonts w:ascii="Calibri" w:eastAsia="Calibri" w:hAnsi="Calibri" w:cs="Calibri"/>
          <w:b/>
        </w:rPr>
        <w:t xml:space="preserve"> Aim 1: Costs of immune activity in n = 41 subjects.</w:t>
      </w:r>
    </w:p>
    <w:tbl>
      <w:tblPr>
        <w:tblStyle w:val="a"/>
        <w:tblW w:w="95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60"/>
        <w:gridCol w:w="5220"/>
        <w:gridCol w:w="1275"/>
      </w:tblGrid>
      <w:tr w:rsidR="00761594" w14:paraId="621E7C2A" w14:textId="77777777">
        <w:trPr>
          <w:jc w:val="center"/>
        </w:trPr>
        <w:tc>
          <w:tcPr>
            <w:tcW w:w="1530" w:type="dxa"/>
            <w:shd w:val="clear" w:color="auto" w:fill="auto"/>
            <w:tcMar>
              <w:top w:w="100" w:type="dxa"/>
              <w:left w:w="100" w:type="dxa"/>
              <w:bottom w:w="100" w:type="dxa"/>
              <w:right w:w="100" w:type="dxa"/>
            </w:tcMar>
          </w:tcPr>
          <w:p w14:paraId="5844959D" w14:textId="77777777" w:rsidR="00761594" w:rsidRDefault="00000000">
            <w:pPr>
              <w:widowControl w:val="0"/>
              <w:pBdr>
                <w:top w:val="nil"/>
                <w:left w:val="nil"/>
                <w:bottom w:val="nil"/>
                <w:right w:val="nil"/>
                <w:between w:val="nil"/>
              </w:pBdr>
              <w:jc w:val="center"/>
              <w:rPr>
                <w:rFonts w:ascii="Calibri" w:eastAsia="Calibri" w:hAnsi="Calibri" w:cs="Calibri"/>
                <w:b/>
                <w:sz w:val="20"/>
                <w:szCs w:val="20"/>
                <w:vertAlign w:val="superscript"/>
              </w:rPr>
            </w:pPr>
            <w:r>
              <w:rPr>
                <w:rFonts w:ascii="Calibri" w:eastAsia="Calibri" w:hAnsi="Calibri" w:cs="Calibri"/>
                <w:b/>
                <w:sz w:val="20"/>
                <w:szCs w:val="20"/>
              </w:rPr>
              <w:t>Costs Model*</w:t>
            </w:r>
          </w:p>
        </w:tc>
        <w:tc>
          <w:tcPr>
            <w:tcW w:w="1560" w:type="dxa"/>
            <w:shd w:val="clear" w:color="auto" w:fill="auto"/>
            <w:tcMar>
              <w:top w:w="100" w:type="dxa"/>
              <w:left w:w="100" w:type="dxa"/>
              <w:bottom w:w="100" w:type="dxa"/>
              <w:right w:w="100" w:type="dxa"/>
            </w:tcMar>
          </w:tcPr>
          <w:p w14:paraId="5A2C8A6A" w14:textId="77777777" w:rsidR="00761594" w:rsidRDefault="00000000">
            <w:pPr>
              <w:widowControl w:val="0"/>
              <w:pBdr>
                <w:top w:val="nil"/>
                <w:left w:val="nil"/>
                <w:bottom w:val="nil"/>
                <w:right w:val="nil"/>
                <w:between w:val="nil"/>
              </w:pBdr>
              <w:jc w:val="center"/>
              <w:rPr>
                <w:rFonts w:ascii="Calibri" w:eastAsia="Calibri" w:hAnsi="Calibri" w:cs="Calibri"/>
                <w:b/>
                <w:sz w:val="20"/>
                <w:szCs w:val="20"/>
              </w:rPr>
            </w:pPr>
            <w:r>
              <w:rPr>
                <w:rFonts w:ascii="Calibri" w:eastAsia="Calibri" w:hAnsi="Calibri" w:cs="Calibri"/>
                <w:b/>
                <w:sz w:val="20"/>
                <w:szCs w:val="20"/>
              </w:rPr>
              <w:t>Response</w:t>
            </w:r>
          </w:p>
        </w:tc>
        <w:tc>
          <w:tcPr>
            <w:tcW w:w="5220" w:type="dxa"/>
            <w:shd w:val="clear" w:color="auto" w:fill="auto"/>
            <w:tcMar>
              <w:top w:w="100" w:type="dxa"/>
              <w:left w:w="100" w:type="dxa"/>
              <w:bottom w:w="100" w:type="dxa"/>
              <w:right w:w="100" w:type="dxa"/>
            </w:tcMar>
          </w:tcPr>
          <w:p w14:paraId="79C6F14D" w14:textId="77777777" w:rsidR="00761594" w:rsidRDefault="00000000">
            <w:pPr>
              <w:widowControl w:val="0"/>
              <w:pBdr>
                <w:top w:val="nil"/>
                <w:left w:val="nil"/>
                <w:bottom w:val="nil"/>
                <w:right w:val="nil"/>
                <w:between w:val="nil"/>
              </w:pBdr>
              <w:jc w:val="center"/>
              <w:rPr>
                <w:rFonts w:ascii="Calibri" w:eastAsia="Calibri" w:hAnsi="Calibri" w:cs="Calibri"/>
                <w:b/>
                <w:sz w:val="20"/>
                <w:szCs w:val="20"/>
              </w:rPr>
            </w:pPr>
            <w:r>
              <w:rPr>
                <w:rFonts w:ascii="Calibri" w:eastAsia="Calibri" w:hAnsi="Calibri" w:cs="Calibri"/>
                <w:b/>
                <w:sz w:val="20"/>
                <w:szCs w:val="20"/>
              </w:rPr>
              <w:t>Predictors</w:t>
            </w:r>
          </w:p>
        </w:tc>
        <w:tc>
          <w:tcPr>
            <w:tcW w:w="1275" w:type="dxa"/>
            <w:shd w:val="clear" w:color="auto" w:fill="auto"/>
            <w:tcMar>
              <w:top w:w="100" w:type="dxa"/>
              <w:left w:w="100" w:type="dxa"/>
              <w:bottom w:w="100" w:type="dxa"/>
              <w:right w:w="100" w:type="dxa"/>
            </w:tcMar>
          </w:tcPr>
          <w:p w14:paraId="60240D48" w14:textId="77777777" w:rsidR="00761594" w:rsidRDefault="00000000">
            <w:pPr>
              <w:widowControl w:val="0"/>
              <w:pBdr>
                <w:top w:val="nil"/>
                <w:left w:val="nil"/>
                <w:bottom w:val="nil"/>
                <w:right w:val="nil"/>
                <w:between w:val="nil"/>
              </w:pBdr>
              <w:jc w:val="center"/>
              <w:rPr>
                <w:rFonts w:ascii="Calibri" w:eastAsia="Calibri" w:hAnsi="Calibri" w:cs="Calibri"/>
                <w:b/>
                <w:sz w:val="20"/>
                <w:szCs w:val="20"/>
              </w:rPr>
            </w:pPr>
            <w:r>
              <w:rPr>
                <w:rFonts w:ascii="Calibri" w:eastAsia="Calibri" w:hAnsi="Calibri" w:cs="Calibri"/>
                <w:b/>
                <w:sz w:val="20"/>
                <w:szCs w:val="20"/>
              </w:rPr>
              <w:t>n</w:t>
            </w:r>
          </w:p>
        </w:tc>
      </w:tr>
      <w:tr w:rsidR="00761594" w14:paraId="1A420A3C" w14:textId="77777777">
        <w:trPr>
          <w:jc w:val="center"/>
        </w:trPr>
        <w:tc>
          <w:tcPr>
            <w:tcW w:w="1530" w:type="dxa"/>
            <w:shd w:val="clear" w:color="auto" w:fill="auto"/>
            <w:tcMar>
              <w:top w:w="100" w:type="dxa"/>
              <w:left w:w="100" w:type="dxa"/>
              <w:bottom w:w="100" w:type="dxa"/>
              <w:right w:w="100" w:type="dxa"/>
            </w:tcMar>
            <w:vAlign w:val="center"/>
          </w:tcPr>
          <w:p w14:paraId="468E3E82"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1. Energy Balance</w:t>
            </w:r>
          </w:p>
        </w:tc>
        <w:tc>
          <w:tcPr>
            <w:tcW w:w="1560" w:type="dxa"/>
            <w:shd w:val="clear" w:color="auto" w:fill="auto"/>
            <w:tcMar>
              <w:top w:w="100" w:type="dxa"/>
              <w:left w:w="100" w:type="dxa"/>
              <w:bottom w:w="100" w:type="dxa"/>
              <w:right w:w="100" w:type="dxa"/>
            </w:tcMar>
            <w:vAlign w:val="center"/>
          </w:tcPr>
          <w:p w14:paraId="5A00E69A"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log</w:t>
            </w:r>
            <w:r>
              <w:rPr>
                <w:rFonts w:ascii="Calibri" w:eastAsia="Calibri" w:hAnsi="Calibri" w:cs="Calibri"/>
                <w:sz w:val="20"/>
                <w:szCs w:val="20"/>
                <w:vertAlign w:val="subscript"/>
              </w:rPr>
              <w:t>2</w:t>
            </w:r>
            <w:r>
              <w:rPr>
                <w:rFonts w:ascii="Calibri" w:eastAsia="Calibri" w:hAnsi="Calibri" w:cs="Calibri"/>
                <w:sz w:val="20"/>
                <w:szCs w:val="20"/>
              </w:rPr>
              <w:t xml:space="preserve"> uCP</w:t>
            </w:r>
            <w:r>
              <w:rPr>
                <w:rFonts w:ascii="Calibri" w:eastAsia="Calibri" w:hAnsi="Calibri" w:cs="Calibri"/>
                <w:sz w:val="20"/>
                <w:szCs w:val="20"/>
                <w:vertAlign w:val="subscript"/>
              </w:rPr>
              <w:t>month</w:t>
            </w:r>
          </w:p>
        </w:tc>
        <w:tc>
          <w:tcPr>
            <w:tcW w:w="5220" w:type="dxa"/>
            <w:shd w:val="clear" w:color="auto" w:fill="auto"/>
            <w:tcMar>
              <w:top w:w="100" w:type="dxa"/>
              <w:left w:w="100" w:type="dxa"/>
              <w:bottom w:w="100" w:type="dxa"/>
              <w:right w:w="100" w:type="dxa"/>
            </w:tcMar>
            <w:vAlign w:val="center"/>
          </w:tcPr>
          <w:p w14:paraId="6F9B98EE"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Age + Sex + Maternal Rank + log</w:t>
            </w:r>
            <w:r>
              <w:rPr>
                <w:rFonts w:ascii="Calibri" w:eastAsia="Calibri" w:hAnsi="Calibri" w:cs="Calibri"/>
                <w:sz w:val="20"/>
                <w:szCs w:val="20"/>
                <w:vertAlign w:val="subscript"/>
              </w:rPr>
              <w:t>2</w:t>
            </w:r>
            <w:r>
              <w:rPr>
                <w:rFonts w:ascii="Calibri" w:eastAsia="Calibri" w:hAnsi="Calibri" w:cs="Calibri"/>
                <w:sz w:val="20"/>
                <w:szCs w:val="20"/>
              </w:rPr>
              <w:t xml:space="preserve"> Neopterin</w:t>
            </w:r>
            <w:r>
              <w:rPr>
                <w:rFonts w:ascii="Calibri" w:eastAsia="Calibri" w:hAnsi="Calibri" w:cs="Calibri"/>
                <w:sz w:val="20"/>
                <w:szCs w:val="20"/>
                <w:vertAlign w:val="subscript"/>
              </w:rPr>
              <w:t>month</w:t>
            </w:r>
          </w:p>
        </w:tc>
        <w:tc>
          <w:tcPr>
            <w:tcW w:w="1275" w:type="dxa"/>
            <w:shd w:val="clear" w:color="auto" w:fill="auto"/>
            <w:tcMar>
              <w:top w:w="100" w:type="dxa"/>
              <w:left w:w="100" w:type="dxa"/>
              <w:bottom w:w="100" w:type="dxa"/>
              <w:right w:w="100" w:type="dxa"/>
            </w:tcMar>
            <w:vAlign w:val="center"/>
          </w:tcPr>
          <w:p w14:paraId="3F46CD62"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293 subject months</w:t>
            </w:r>
          </w:p>
        </w:tc>
      </w:tr>
      <w:tr w:rsidR="00761594" w14:paraId="57E2CBC7" w14:textId="77777777">
        <w:trPr>
          <w:jc w:val="center"/>
        </w:trPr>
        <w:tc>
          <w:tcPr>
            <w:tcW w:w="1530" w:type="dxa"/>
            <w:shd w:val="clear" w:color="auto" w:fill="auto"/>
            <w:tcMar>
              <w:top w:w="100" w:type="dxa"/>
              <w:left w:w="100" w:type="dxa"/>
              <w:bottom w:w="100" w:type="dxa"/>
              <w:right w:w="100" w:type="dxa"/>
            </w:tcMar>
            <w:vAlign w:val="center"/>
          </w:tcPr>
          <w:p w14:paraId="728F6D45"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2. Monthly growth</w:t>
            </w:r>
          </w:p>
        </w:tc>
        <w:tc>
          <w:tcPr>
            <w:tcW w:w="1560" w:type="dxa"/>
            <w:shd w:val="clear" w:color="auto" w:fill="auto"/>
            <w:tcMar>
              <w:top w:w="100" w:type="dxa"/>
              <w:left w:w="100" w:type="dxa"/>
              <w:bottom w:w="100" w:type="dxa"/>
              <w:right w:w="100" w:type="dxa"/>
            </w:tcMar>
            <w:vAlign w:val="center"/>
          </w:tcPr>
          <w:p w14:paraId="035FE93B"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∆ELBM</w:t>
            </w:r>
            <w:r>
              <w:rPr>
                <w:rFonts w:ascii="Calibri" w:eastAsia="Calibri" w:hAnsi="Calibri" w:cs="Calibri"/>
                <w:sz w:val="20"/>
                <w:szCs w:val="20"/>
                <w:vertAlign w:val="subscript"/>
              </w:rPr>
              <w:t>month</w:t>
            </w:r>
          </w:p>
        </w:tc>
        <w:tc>
          <w:tcPr>
            <w:tcW w:w="5220" w:type="dxa"/>
            <w:shd w:val="clear" w:color="auto" w:fill="auto"/>
            <w:tcMar>
              <w:top w:w="100" w:type="dxa"/>
              <w:left w:w="100" w:type="dxa"/>
              <w:bottom w:w="100" w:type="dxa"/>
              <w:right w:w="100" w:type="dxa"/>
            </w:tcMar>
            <w:vAlign w:val="center"/>
          </w:tcPr>
          <w:p w14:paraId="118324F9"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Age + Sex + Maternal Rank + log</w:t>
            </w:r>
            <w:r>
              <w:rPr>
                <w:rFonts w:ascii="Calibri" w:eastAsia="Calibri" w:hAnsi="Calibri" w:cs="Calibri"/>
                <w:sz w:val="20"/>
                <w:szCs w:val="20"/>
                <w:vertAlign w:val="subscript"/>
              </w:rPr>
              <w:t>2</w:t>
            </w:r>
            <w:r>
              <w:rPr>
                <w:rFonts w:ascii="Calibri" w:eastAsia="Calibri" w:hAnsi="Calibri" w:cs="Calibri"/>
                <w:sz w:val="20"/>
                <w:szCs w:val="20"/>
              </w:rPr>
              <w:t xml:space="preserve"> Neopterin</w:t>
            </w:r>
            <w:r>
              <w:rPr>
                <w:rFonts w:ascii="Calibri" w:eastAsia="Calibri" w:hAnsi="Calibri" w:cs="Calibri"/>
                <w:sz w:val="20"/>
                <w:szCs w:val="20"/>
                <w:vertAlign w:val="subscript"/>
              </w:rPr>
              <w:t>month</w:t>
            </w:r>
          </w:p>
        </w:tc>
        <w:tc>
          <w:tcPr>
            <w:tcW w:w="1275" w:type="dxa"/>
            <w:shd w:val="clear" w:color="auto" w:fill="auto"/>
            <w:tcMar>
              <w:top w:w="100" w:type="dxa"/>
              <w:left w:w="100" w:type="dxa"/>
              <w:bottom w:w="100" w:type="dxa"/>
              <w:right w:w="100" w:type="dxa"/>
            </w:tcMar>
            <w:vAlign w:val="center"/>
          </w:tcPr>
          <w:p w14:paraId="6F2E2232"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252 subject monthly ∆s</w:t>
            </w:r>
          </w:p>
        </w:tc>
      </w:tr>
      <w:tr w:rsidR="00761594" w14:paraId="42AC3B1D" w14:textId="77777777">
        <w:trPr>
          <w:trHeight w:val="495"/>
          <w:jc w:val="center"/>
        </w:trPr>
        <w:tc>
          <w:tcPr>
            <w:tcW w:w="1530" w:type="dxa"/>
            <w:shd w:val="clear" w:color="auto" w:fill="auto"/>
            <w:tcMar>
              <w:top w:w="100" w:type="dxa"/>
              <w:left w:w="100" w:type="dxa"/>
              <w:bottom w:w="100" w:type="dxa"/>
              <w:right w:w="100" w:type="dxa"/>
            </w:tcMar>
            <w:vAlign w:val="center"/>
          </w:tcPr>
          <w:p w14:paraId="32B075A0"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3. Short-term growth</w:t>
            </w:r>
          </w:p>
        </w:tc>
        <w:tc>
          <w:tcPr>
            <w:tcW w:w="1560" w:type="dxa"/>
            <w:shd w:val="clear" w:color="auto" w:fill="auto"/>
            <w:tcMar>
              <w:top w:w="100" w:type="dxa"/>
              <w:left w:w="100" w:type="dxa"/>
              <w:bottom w:w="100" w:type="dxa"/>
              <w:right w:w="100" w:type="dxa"/>
            </w:tcMar>
            <w:vAlign w:val="center"/>
          </w:tcPr>
          <w:p w14:paraId="369D36EB"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∆ELBM</w:t>
            </w:r>
            <w:r>
              <w:rPr>
                <w:rFonts w:ascii="Calibri" w:eastAsia="Calibri" w:hAnsi="Calibri" w:cs="Calibri"/>
                <w:sz w:val="20"/>
                <w:szCs w:val="20"/>
                <w:vertAlign w:val="subscript"/>
              </w:rPr>
              <w:t>sample t1-t0</w:t>
            </w:r>
          </w:p>
        </w:tc>
        <w:tc>
          <w:tcPr>
            <w:tcW w:w="5220" w:type="dxa"/>
            <w:shd w:val="clear" w:color="auto" w:fill="auto"/>
            <w:tcMar>
              <w:top w:w="100" w:type="dxa"/>
              <w:left w:w="100" w:type="dxa"/>
              <w:bottom w:w="100" w:type="dxa"/>
              <w:right w:w="100" w:type="dxa"/>
            </w:tcMar>
            <w:vAlign w:val="center"/>
          </w:tcPr>
          <w:p w14:paraId="4850AD43" w14:textId="77777777" w:rsidR="00761594" w:rsidRDefault="00000000">
            <w:pPr>
              <w:widowControl w:val="0"/>
              <w:jc w:val="center"/>
              <w:rPr>
                <w:rFonts w:ascii="Calibri" w:eastAsia="Calibri" w:hAnsi="Calibri" w:cs="Calibri"/>
                <w:sz w:val="20"/>
                <w:szCs w:val="20"/>
                <w:vertAlign w:val="subscript"/>
              </w:rPr>
            </w:pPr>
            <w:r>
              <w:rPr>
                <w:rFonts w:ascii="Calibri" w:eastAsia="Calibri" w:hAnsi="Calibri" w:cs="Calibri"/>
                <w:sz w:val="20"/>
                <w:szCs w:val="20"/>
              </w:rPr>
              <w:t>Age + Sex + Maternal Rank + log</w:t>
            </w:r>
            <w:r>
              <w:rPr>
                <w:rFonts w:ascii="Calibri" w:eastAsia="Calibri" w:hAnsi="Calibri" w:cs="Calibri"/>
                <w:sz w:val="20"/>
                <w:szCs w:val="20"/>
                <w:vertAlign w:val="subscript"/>
              </w:rPr>
              <w:t>2</w:t>
            </w:r>
            <w:r>
              <w:rPr>
                <w:rFonts w:ascii="Calibri" w:eastAsia="Calibri" w:hAnsi="Calibri" w:cs="Calibri"/>
                <w:sz w:val="20"/>
                <w:szCs w:val="20"/>
              </w:rPr>
              <w:t xml:space="preserve"> Neopterin</w:t>
            </w:r>
            <w:r>
              <w:rPr>
                <w:rFonts w:ascii="Calibri" w:eastAsia="Calibri" w:hAnsi="Calibri" w:cs="Calibri"/>
                <w:sz w:val="20"/>
                <w:szCs w:val="20"/>
                <w:vertAlign w:val="subscript"/>
              </w:rPr>
              <w:t xml:space="preserve">t1 </w:t>
            </w:r>
            <w:r>
              <w:rPr>
                <w:rFonts w:ascii="Calibri" w:eastAsia="Calibri" w:hAnsi="Calibri" w:cs="Calibri"/>
                <w:sz w:val="20"/>
                <w:szCs w:val="20"/>
              </w:rPr>
              <w:t>+ interval</w:t>
            </w:r>
            <w:r>
              <w:rPr>
                <w:rFonts w:ascii="Calibri" w:eastAsia="Calibri" w:hAnsi="Calibri" w:cs="Calibri"/>
                <w:sz w:val="20"/>
                <w:szCs w:val="20"/>
                <w:vertAlign w:val="subscript"/>
              </w:rPr>
              <w:t>t1-t0</w:t>
            </w:r>
            <w:r>
              <w:rPr>
                <w:rFonts w:ascii="Calibri" w:eastAsia="Calibri" w:hAnsi="Calibri" w:cs="Calibri"/>
                <w:sz w:val="20"/>
                <w:szCs w:val="20"/>
              </w:rPr>
              <w:t>+ log2 Neopterin</w:t>
            </w:r>
            <w:r>
              <w:rPr>
                <w:rFonts w:ascii="Calibri" w:eastAsia="Calibri" w:hAnsi="Calibri" w:cs="Calibri"/>
                <w:sz w:val="20"/>
                <w:szCs w:val="20"/>
                <w:vertAlign w:val="subscript"/>
              </w:rPr>
              <w:t xml:space="preserve">t1 </w:t>
            </w:r>
            <w:r>
              <w:rPr>
                <w:rFonts w:ascii="Calibri" w:eastAsia="Calibri" w:hAnsi="Calibri" w:cs="Calibri"/>
                <w:sz w:val="20"/>
                <w:szCs w:val="20"/>
              </w:rPr>
              <w:t xml:space="preserve"> : interval</w:t>
            </w:r>
            <w:r>
              <w:rPr>
                <w:rFonts w:ascii="Calibri" w:eastAsia="Calibri" w:hAnsi="Calibri" w:cs="Calibri"/>
                <w:sz w:val="20"/>
                <w:szCs w:val="20"/>
                <w:vertAlign w:val="subscript"/>
              </w:rPr>
              <w:t>t1-t0</w:t>
            </w:r>
          </w:p>
        </w:tc>
        <w:tc>
          <w:tcPr>
            <w:tcW w:w="1275" w:type="dxa"/>
            <w:shd w:val="clear" w:color="auto" w:fill="auto"/>
            <w:tcMar>
              <w:top w:w="100" w:type="dxa"/>
              <w:left w:w="100" w:type="dxa"/>
              <w:bottom w:w="100" w:type="dxa"/>
              <w:right w:w="100" w:type="dxa"/>
            </w:tcMar>
            <w:vAlign w:val="center"/>
          </w:tcPr>
          <w:p w14:paraId="5A13BFA6"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 xml:space="preserve">520 subject sample ∆s </w:t>
            </w:r>
          </w:p>
        </w:tc>
      </w:tr>
      <w:tr w:rsidR="00761594" w14:paraId="5008A6D6" w14:textId="77777777">
        <w:trPr>
          <w:trHeight w:val="495"/>
          <w:jc w:val="center"/>
        </w:trPr>
        <w:tc>
          <w:tcPr>
            <w:tcW w:w="1530" w:type="dxa"/>
            <w:shd w:val="clear" w:color="auto" w:fill="auto"/>
            <w:tcMar>
              <w:top w:w="100" w:type="dxa"/>
              <w:left w:w="100" w:type="dxa"/>
              <w:bottom w:w="100" w:type="dxa"/>
              <w:right w:w="100" w:type="dxa"/>
            </w:tcMar>
            <w:vAlign w:val="center"/>
          </w:tcPr>
          <w:p w14:paraId="6464B262"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4-6. Compensatory behavior</w:t>
            </w:r>
          </w:p>
        </w:tc>
        <w:tc>
          <w:tcPr>
            <w:tcW w:w="1560" w:type="dxa"/>
            <w:shd w:val="clear" w:color="auto" w:fill="auto"/>
            <w:tcMar>
              <w:top w:w="100" w:type="dxa"/>
              <w:left w:w="100" w:type="dxa"/>
              <w:bottom w:w="100" w:type="dxa"/>
              <w:right w:w="100" w:type="dxa"/>
            </w:tcMar>
            <w:vAlign w:val="center"/>
          </w:tcPr>
          <w:p w14:paraId="061C3432"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Monthly time resting, feeding, or locomoting</w:t>
            </w:r>
          </w:p>
        </w:tc>
        <w:tc>
          <w:tcPr>
            <w:tcW w:w="5220" w:type="dxa"/>
            <w:shd w:val="clear" w:color="auto" w:fill="auto"/>
            <w:tcMar>
              <w:top w:w="100" w:type="dxa"/>
              <w:left w:w="100" w:type="dxa"/>
              <w:bottom w:w="100" w:type="dxa"/>
              <w:right w:w="100" w:type="dxa"/>
            </w:tcMar>
            <w:vAlign w:val="center"/>
          </w:tcPr>
          <w:p w14:paraId="030B066F"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Age + Sex + Maternal Rank + log</w:t>
            </w:r>
            <w:r>
              <w:rPr>
                <w:rFonts w:ascii="Calibri" w:eastAsia="Calibri" w:hAnsi="Calibri" w:cs="Calibri"/>
                <w:sz w:val="20"/>
                <w:szCs w:val="20"/>
                <w:vertAlign w:val="subscript"/>
              </w:rPr>
              <w:t>2</w:t>
            </w:r>
            <w:r>
              <w:rPr>
                <w:rFonts w:ascii="Calibri" w:eastAsia="Calibri" w:hAnsi="Calibri" w:cs="Calibri"/>
                <w:sz w:val="20"/>
                <w:szCs w:val="20"/>
              </w:rPr>
              <w:t xml:space="preserve"> Neopterin</w:t>
            </w:r>
            <w:r>
              <w:rPr>
                <w:rFonts w:ascii="Calibri" w:eastAsia="Calibri" w:hAnsi="Calibri" w:cs="Calibri"/>
                <w:sz w:val="20"/>
                <w:szCs w:val="20"/>
                <w:vertAlign w:val="subscript"/>
              </w:rPr>
              <w:t>month</w:t>
            </w:r>
          </w:p>
        </w:tc>
        <w:tc>
          <w:tcPr>
            <w:tcW w:w="1275" w:type="dxa"/>
            <w:shd w:val="clear" w:color="auto" w:fill="auto"/>
            <w:tcMar>
              <w:top w:w="100" w:type="dxa"/>
              <w:left w:w="100" w:type="dxa"/>
              <w:bottom w:w="100" w:type="dxa"/>
              <w:right w:w="100" w:type="dxa"/>
            </w:tcMar>
            <w:vAlign w:val="center"/>
          </w:tcPr>
          <w:p w14:paraId="59028080"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293 subject months</w:t>
            </w:r>
          </w:p>
        </w:tc>
      </w:tr>
    </w:tbl>
    <w:p w14:paraId="76F545A4" w14:textId="77777777" w:rsidR="00761594" w:rsidRDefault="00000000">
      <w:pPr>
        <w:rPr>
          <w:rFonts w:ascii="Calibri" w:eastAsia="Calibri" w:hAnsi="Calibri" w:cs="Calibri"/>
        </w:rPr>
      </w:pPr>
      <w:r>
        <w:rPr>
          <w:rFonts w:ascii="Calibri" w:eastAsia="Calibri" w:hAnsi="Calibri" w:cs="Calibri"/>
        </w:rPr>
        <w:lastRenderedPageBreak/>
        <w:t>*All models include subject ID and month as random effects.</w:t>
      </w:r>
    </w:p>
    <w:p w14:paraId="3A7DA5FB" w14:textId="77777777" w:rsidR="00761594" w:rsidRDefault="00761594">
      <w:pPr>
        <w:rPr>
          <w:rFonts w:ascii="Calibri" w:eastAsia="Calibri" w:hAnsi="Calibri" w:cs="Calibri"/>
        </w:rPr>
      </w:pPr>
    </w:p>
    <w:p w14:paraId="01555C57" w14:textId="557AE625" w:rsidR="00761594" w:rsidRDefault="00000000">
      <w:pPr>
        <w:numPr>
          <w:ilvl w:val="0"/>
          <w:numId w:val="2"/>
        </w:numPr>
        <w:rPr>
          <w:rFonts w:ascii="Calibri" w:eastAsia="Calibri" w:hAnsi="Calibri" w:cs="Calibri"/>
        </w:rPr>
      </w:pPr>
      <w:r>
        <w:rPr>
          <w:rFonts w:ascii="Calibri" w:eastAsia="Calibri" w:hAnsi="Calibri" w:cs="Calibri"/>
          <w:b/>
        </w:rPr>
        <w:t>Energetic constraints on immune activity:</w:t>
      </w:r>
      <w:r>
        <w:rPr>
          <w:rFonts w:ascii="Calibri" w:eastAsia="Calibri" w:hAnsi="Calibri" w:cs="Calibri"/>
        </w:rPr>
        <w:t xml:space="preserve"> we constructed a model where energy balance and lean body mass predicted neopterin concentrations (Model 7). Here, we further controlled for total monthly rainfall (mm) and a subject’s number of social partners in the same month, as potential proxies of pathogen exposure </w:t>
      </w:r>
      <w:hyperlink r:id="rId63">
        <w:r>
          <w:rPr>
            <w:rFonts w:ascii="Calibri" w:eastAsia="Calibri" w:hAnsi="Calibri" w:cs="Calibri"/>
          </w:rPr>
          <w:t>(Altizer et al., 2006; Nunn et al., 2015; Page et al., 2017)</w:t>
        </w:r>
      </w:hyperlink>
      <w:r>
        <w:rPr>
          <w:rFonts w:ascii="Calibri" w:eastAsia="Calibri" w:hAnsi="Calibri" w:cs="Calibri"/>
        </w:rPr>
        <w:t>. Given the strong positive effects of energy balance on neopterin in this model, we further explored whether low energy balance may restrict neopterin production via its inverse relationship with anti-inflammatory glucocorticoids. We constructed mediation models that included sub-models of the total effect of energy balance on neopterin (submodel a), the effect of energy balance on the potential mediator fGCs (submodel b) and the direct effect of energy balance on neopterin, controlling for fGCs (submodel c)</w:t>
      </w:r>
      <w:r>
        <w:rPr>
          <w:rFonts w:ascii="Calibri" w:eastAsia="Calibri" w:hAnsi="Calibri" w:cs="Calibri"/>
          <w:color w:val="0000FF"/>
        </w:rPr>
        <w:t xml:space="preserve">. </w:t>
      </w:r>
      <w:r>
        <w:rPr>
          <w:rFonts w:ascii="Calibri" w:eastAsia="Calibri" w:hAnsi="Calibri" w:cs="Calibri"/>
        </w:rPr>
        <w:t>We used the mediation package in R, which takes submodels b and c as arguments, to evaluate the proportion of the total effect of energy balance on neopterin is accounted for by the relationship of energy balance with fGCs and fGCs’ subsequent relationship with neopterin.</w:t>
      </w:r>
    </w:p>
    <w:p w14:paraId="42C41407" w14:textId="3ABD9670" w:rsidR="00761594" w:rsidRDefault="00000000">
      <w:pPr>
        <w:rPr>
          <w:rFonts w:ascii="Calibri" w:eastAsia="Calibri" w:hAnsi="Calibri" w:cs="Calibri"/>
        </w:rPr>
      </w:pPr>
      <w:r>
        <w:rPr>
          <w:rFonts w:ascii="Calibri" w:eastAsia="Calibri" w:hAnsi="Calibri" w:cs="Calibri"/>
        </w:rPr>
        <w:t>In all models, average and raw sample concentrations of uCP and neopterin were scaled by log base 2, to bring them onto similar scales of other predictors and to easily interpret their effect on the response. This means that a doubling of a predictor value increases the response by ß. For parsimony, we also maintained variable values on a log2 scale as responses to normalize their distributions.</w:t>
      </w:r>
      <w:r w:rsidR="004435CC">
        <w:rPr>
          <w:rFonts w:ascii="Calibri" w:eastAsia="Calibri" w:hAnsi="Calibri" w:cs="Calibri"/>
        </w:rPr>
        <w:t xml:space="preserve"> </w:t>
      </w:r>
      <w:r w:rsidR="004435CC" w:rsidRPr="004435CC">
        <w:rPr>
          <w:rFonts w:ascii="Calibri" w:eastAsia="Calibri" w:hAnsi="Calibri" w:cs="Calibri"/>
          <w:color w:val="0070C0"/>
        </w:rPr>
        <w:t xml:space="preserve">Where models </w:t>
      </w:r>
      <w:r w:rsidR="001E12B6">
        <w:rPr>
          <w:rFonts w:ascii="Calibri" w:eastAsia="Calibri" w:hAnsi="Calibri" w:cs="Calibri"/>
          <w:color w:val="0070C0"/>
        </w:rPr>
        <w:t>across all individuals</w:t>
      </w:r>
      <w:r w:rsidR="001E12B6" w:rsidRPr="004435CC">
        <w:rPr>
          <w:rFonts w:ascii="Calibri" w:eastAsia="Calibri" w:hAnsi="Calibri" w:cs="Calibri"/>
          <w:color w:val="0070C0"/>
        </w:rPr>
        <w:t xml:space="preserve"> </w:t>
      </w:r>
      <w:r w:rsidR="004435CC" w:rsidRPr="004435CC">
        <w:rPr>
          <w:rFonts w:ascii="Calibri" w:eastAsia="Calibri" w:hAnsi="Calibri" w:cs="Calibri"/>
          <w:color w:val="0070C0"/>
        </w:rPr>
        <w:t>indicated significant costs or constraints on immune activity, we further examined the estimated coefficients of key predictor variables within individuals to evaluate the</w:t>
      </w:r>
      <w:r w:rsidR="001E12B6">
        <w:rPr>
          <w:rFonts w:ascii="Calibri" w:eastAsia="Calibri" w:hAnsi="Calibri" w:cs="Calibri"/>
          <w:color w:val="0070C0"/>
        </w:rPr>
        <w:t xml:space="preserve"> consistency of the</w:t>
      </w:r>
      <w:r w:rsidR="004435CC" w:rsidRPr="004435CC">
        <w:rPr>
          <w:rFonts w:ascii="Calibri" w:eastAsia="Calibri" w:hAnsi="Calibri" w:cs="Calibri"/>
          <w:color w:val="0070C0"/>
        </w:rPr>
        <w:t xml:space="preserve"> </w:t>
      </w:r>
      <w:r w:rsidR="001E12B6">
        <w:rPr>
          <w:rFonts w:ascii="Calibri" w:eastAsia="Calibri" w:hAnsi="Calibri" w:cs="Calibri"/>
          <w:color w:val="0070C0"/>
        </w:rPr>
        <w:t>directionality of their effects.</w:t>
      </w:r>
    </w:p>
    <w:p w14:paraId="774120A4" w14:textId="77777777" w:rsidR="00761594" w:rsidRDefault="00761594">
      <w:pPr>
        <w:rPr>
          <w:rFonts w:ascii="Calibri" w:eastAsia="Calibri" w:hAnsi="Calibri" w:cs="Calibri"/>
        </w:rPr>
      </w:pPr>
    </w:p>
    <w:p w14:paraId="188E1F8D" w14:textId="77777777" w:rsidR="00761594" w:rsidRDefault="00000000">
      <w:pPr>
        <w:rPr>
          <w:rFonts w:ascii="Calibri" w:eastAsia="Calibri" w:hAnsi="Calibri" w:cs="Calibri"/>
          <w:b/>
        </w:rPr>
      </w:pPr>
      <w:r>
        <w:rPr>
          <w:rFonts w:ascii="Calibri" w:eastAsia="Calibri" w:hAnsi="Calibri" w:cs="Calibri"/>
        </w:rPr>
        <w:t xml:space="preserve">Table 2. Generalized linear mixed model structures examining </w:t>
      </w:r>
      <w:r>
        <w:rPr>
          <w:rFonts w:ascii="Calibri" w:eastAsia="Calibri" w:hAnsi="Calibri" w:cs="Calibri"/>
          <w:b/>
        </w:rPr>
        <w:t>Aim 2: Constraints on immune activity in n = 41 subjects.</w:t>
      </w:r>
    </w:p>
    <w:tbl>
      <w:tblPr>
        <w:tblStyle w:val="a0"/>
        <w:tblW w:w="9844"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590"/>
        <w:gridCol w:w="4875"/>
        <w:gridCol w:w="1279"/>
      </w:tblGrid>
      <w:tr w:rsidR="00761594" w14:paraId="2BBF0BCB" w14:textId="77777777">
        <w:tc>
          <w:tcPr>
            <w:tcW w:w="2100" w:type="dxa"/>
            <w:shd w:val="clear" w:color="auto" w:fill="auto"/>
            <w:tcMar>
              <w:top w:w="100" w:type="dxa"/>
              <w:left w:w="100" w:type="dxa"/>
              <w:bottom w:w="100" w:type="dxa"/>
              <w:right w:w="100" w:type="dxa"/>
            </w:tcMar>
          </w:tcPr>
          <w:p w14:paraId="1F5D3453" w14:textId="77777777" w:rsidR="00761594" w:rsidRDefault="00000000">
            <w:pPr>
              <w:widowControl w:val="0"/>
              <w:jc w:val="center"/>
              <w:rPr>
                <w:rFonts w:ascii="Calibri" w:eastAsia="Calibri" w:hAnsi="Calibri" w:cs="Calibri"/>
                <w:b/>
                <w:sz w:val="20"/>
                <w:szCs w:val="20"/>
              </w:rPr>
            </w:pPr>
            <w:r>
              <w:rPr>
                <w:rFonts w:ascii="Calibri" w:eastAsia="Calibri" w:hAnsi="Calibri" w:cs="Calibri"/>
                <w:b/>
                <w:sz w:val="20"/>
                <w:szCs w:val="20"/>
              </w:rPr>
              <w:t>Constraints Model*</w:t>
            </w:r>
          </w:p>
        </w:tc>
        <w:tc>
          <w:tcPr>
            <w:tcW w:w="1590" w:type="dxa"/>
            <w:shd w:val="clear" w:color="auto" w:fill="auto"/>
            <w:tcMar>
              <w:top w:w="100" w:type="dxa"/>
              <w:left w:w="100" w:type="dxa"/>
              <w:bottom w:w="100" w:type="dxa"/>
              <w:right w:w="100" w:type="dxa"/>
            </w:tcMar>
          </w:tcPr>
          <w:p w14:paraId="55AD0E4C" w14:textId="77777777" w:rsidR="00761594" w:rsidRDefault="00000000">
            <w:pPr>
              <w:widowControl w:val="0"/>
              <w:jc w:val="center"/>
              <w:rPr>
                <w:rFonts w:ascii="Calibri" w:eastAsia="Calibri" w:hAnsi="Calibri" w:cs="Calibri"/>
                <w:b/>
                <w:sz w:val="20"/>
                <w:szCs w:val="20"/>
              </w:rPr>
            </w:pPr>
            <w:r>
              <w:rPr>
                <w:rFonts w:ascii="Calibri" w:eastAsia="Calibri" w:hAnsi="Calibri" w:cs="Calibri"/>
                <w:b/>
                <w:sz w:val="20"/>
                <w:szCs w:val="20"/>
              </w:rPr>
              <w:t>Response</w:t>
            </w:r>
          </w:p>
        </w:tc>
        <w:tc>
          <w:tcPr>
            <w:tcW w:w="4875" w:type="dxa"/>
            <w:shd w:val="clear" w:color="auto" w:fill="auto"/>
            <w:tcMar>
              <w:top w:w="100" w:type="dxa"/>
              <w:left w:w="100" w:type="dxa"/>
              <w:bottom w:w="100" w:type="dxa"/>
              <w:right w:w="100" w:type="dxa"/>
            </w:tcMar>
          </w:tcPr>
          <w:p w14:paraId="6B0A51A6" w14:textId="77777777" w:rsidR="00761594" w:rsidRDefault="00000000">
            <w:pPr>
              <w:widowControl w:val="0"/>
              <w:jc w:val="center"/>
              <w:rPr>
                <w:rFonts w:ascii="Calibri" w:eastAsia="Calibri" w:hAnsi="Calibri" w:cs="Calibri"/>
                <w:b/>
                <w:sz w:val="20"/>
                <w:szCs w:val="20"/>
              </w:rPr>
            </w:pPr>
            <w:r>
              <w:rPr>
                <w:rFonts w:ascii="Calibri" w:eastAsia="Calibri" w:hAnsi="Calibri" w:cs="Calibri"/>
                <w:b/>
                <w:sz w:val="20"/>
                <w:szCs w:val="20"/>
              </w:rPr>
              <w:t>Predictors</w:t>
            </w:r>
          </w:p>
        </w:tc>
        <w:tc>
          <w:tcPr>
            <w:tcW w:w="1279" w:type="dxa"/>
            <w:shd w:val="clear" w:color="auto" w:fill="auto"/>
            <w:tcMar>
              <w:top w:w="100" w:type="dxa"/>
              <w:left w:w="100" w:type="dxa"/>
              <w:bottom w:w="100" w:type="dxa"/>
              <w:right w:w="100" w:type="dxa"/>
            </w:tcMar>
          </w:tcPr>
          <w:p w14:paraId="05EB378F" w14:textId="77777777" w:rsidR="00761594" w:rsidRDefault="00000000">
            <w:pPr>
              <w:widowControl w:val="0"/>
              <w:jc w:val="center"/>
              <w:rPr>
                <w:rFonts w:ascii="Calibri" w:eastAsia="Calibri" w:hAnsi="Calibri" w:cs="Calibri"/>
                <w:b/>
                <w:sz w:val="20"/>
                <w:szCs w:val="20"/>
              </w:rPr>
            </w:pPr>
            <w:r>
              <w:rPr>
                <w:rFonts w:ascii="Calibri" w:eastAsia="Calibri" w:hAnsi="Calibri" w:cs="Calibri"/>
                <w:b/>
                <w:sz w:val="20"/>
                <w:szCs w:val="20"/>
              </w:rPr>
              <w:t>n</w:t>
            </w:r>
          </w:p>
        </w:tc>
      </w:tr>
      <w:tr w:rsidR="00761594" w14:paraId="6C914CAF" w14:textId="77777777">
        <w:tc>
          <w:tcPr>
            <w:tcW w:w="2100" w:type="dxa"/>
            <w:shd w:val="clear" w:color="auto" w:fill="auto"/>
            <w:tcMar>
              <w:top w:w="100" w:type="dxa"/>
              <w:left w:w="100" w:type="dxa"/>
              <w:bottom w:w="100" w:type="dxa"/>
              <w:right w:w="100" w:type="dxa"/>
            </w:tcMar>
            <w:vAlign w:val="center"/>
          </w:tcPr>
          <w:p w14:paraId="5B342FFA"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 xml:space="preserve">7. Constraints on immune activity** </w:t>
            </w:r>
          </w:p>
        </w:tc>
        <w:tc>
          <w:tcPr>
            <w:tcW w:w="1590" w:type="dxa"/>
            <w:shd w:val="clear" w:color="auto" w:fill="auto"/>
            <w:tcMar>
              <w:top w:w="100" w:type="dxa"/>
              <w:left w:w="100" w:type="dxa"/>
              <w:bottom w:w="100" w:type="dxa"/>
              <w:right w:w="100" w:type="dxa"/>
            </w:tcMar>
            <w:vAlign w:val="center"/>
          </w:tcPr>
          <w:p w14:paraId="7C2183BA" w14:textId="77777777" w:rsidR="00761594" w:rsidRDefault="00000000">
            <w:pPr>
              <w:widowControl w:val="0"/>
              <w:jc w:val="center"/>
              <w:rPr>
                <w:rFonts w:ascii="Calibri" w:eastAsia="Calibri" w:hAnsi="Calibri" w:cs="Calibri"/>
                <w:sz w:val="20"/>
                <w:szCs w:val="20"/>
                <w:vertAlign w:val="subscript"/>
              </w:rPr>
            </w:pPr>
            <w:r>
              <w:rPr>
                <w:rFonts w:ascii="Calibri" w:eastAsia="Calibri" w:hAnsi="Calibri" w:cs="Calibri"/>
                <w:sz w:val="20"/>
                <w:szCs w:val="20"/>
              </w:rPr>
              <w:t>log</w:t>
            </w:r>
            <w:r>
              <w:rPr>
                <w:rFonts w:ascii="Calibri" w:eastAsia="Calibri" w:hAnsi="Calibri" w:cs="Calibri"/>
                <w:sz w:val="20"/>
                <w:szCs w:val="20"/>
                <w:vertAlign w:val="subscript"/>
              </w:rPr>
              <w:t>2</w:t>
            </w:r>
            <w:r>
              <w:rPr>
                <w:rFonts w:ascii="Calibri" w:eastAsia="Calibri" w:hAnsi="Calibri" w:cs="Calibri"/>
                <w:sz w:val="20"/>
                <w:szCs w:val="20"/>
              </w:rPr>
              <w:t xml:space="preserve"> Neopterin</w:t>
            </w:r>
            <w:r>
              <w:rPr>
                <w:rFonts w:ascii="Calibri" w:eastAsia="Calibri" w:hAnsi="Calibri" w:cs="Calibri"/>
                <w:sz w:val="20"/>
                <w:szCs w:val="20"/>
                <w:vertAlign w:val="subscript"/>
              </w:rPr>
              <w:t>month</w:t>
            </w:r>
          </w:p>
        </w:tc>
        <w:tc>
          <w:tcPr>
            <w:tcW w:w="4875" w:type="dxa"/>
            <w:shd w:val="clear" w:color="auto" w:fill="auto"/>
            <w:tcMar>
              <w:top w:w="100" w:type="dxa"/>
              <w:left w:w="100" w:type="dxa"/>
              <w:bottom w:w="100" w:type="dxa"/>
              <w:right w:w="100" w:type="dxa"/>
            </w:tcMar>
            <w:vAlign w:val="center"/>
          </w:tcPr>
          <w:p w14:paraId="2CC764B7"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Age + Sex + Maternal Rank + log</w:t>
            </w:r>
            <w:r>
              <w:rPr>
                <w:rFonts w:ascii="Calibri" w:eastAsia="Calibri" w:hAnsi="Calibri" w:cs="Calibri"/>
                <w:sz w:val="20"/>
                <w:szCs w:val="20"/>
                <w:vertAlign w:val="subscript"/>
              </w:rPr>
              <w:t>2</w:t>
            </w:r>
            <w:r>
              <w:rPr>
                <w:rFonts w:ascii="Calibri" w:eastAsia="Calibri" w:hAnsi="Calibri" w:cs="Calibri"/>
                <w:sz w:val="20"/>
                <w:szCs w:val="20"/>
              </w:rPr>
              <w:t xml:space="preserve"> uCP</w:t>
            </w:r>
            <w:r>
              <w:rPr>
                <w:rFonts w:ascii="Calibri" w:eastAsia="Calibri" w:hAnsi="Calibri" w:cs="Calibri"/>
                <w:sz w:val="20"/>
                <w:szCs w:val="20"/>
                <w:vertAlign w:val="subscript"/>
              </w:rPr>
              <w:t>month</w:t>
            </w:r>
            <w:r>
              <w:rPr>
                <w:rFonts w:ascii="Calibri" w:eastAsia="Calibri" w:hAnsi="Calibri" w:cs="Calibri"/>
                <w:sz w:val="20"/>
                <w:szCs w:val="20"/>
              </w:rPr>
              <w:t xml:space="preserve"> + ELBM</w:t>
            </w:r>
            <w:r>
              <w:rPr>
                <w:rFonts w:ascii="Calibri" w:eastAsia="Calibri" w:hAnsi="Calibri" w:cs="Calibri"/>
                <w:sz w:val="20"/>
                <w:szCs w:val="20"/>
                <w:vertAlign w:val="subscript"/>
              </w:rPr>
              <w:t>month</w:t>
            </w:r>
            <w:r>
              <w:rPr>
                <w:rFonts w:ascii="Calibri" w:eastAsia="Calibri" w:hAnsi="Calibri" w:cs="Calibri"/>
                <w:sz w:val="20"/>
                <w:szCs w:val="20"/>
              </w:rPr>
              <w:t xml:space="preserve"> + Rainfall</w:t>
            </w:r>
            <w:r>
              <w:rPr>
                <w:rFonts w:ascii="Calibri" w:eastAsia="Calibri" w:hAnsi="Calibri" w:cs="Calibri"/>
                <w:sz w:val="20"/>
                <w:szCs w:val="20"/>
                <w:vertAlign w:val="subscript"/>
              </w:rPr>
              <w:t>month</w:t>
            </w:r>
            <w:r>
              <w:rPr>
                <w:rFonts w:ascii="Calibri" w:eastAsia="Calibri" w:hAnsi="Calibri" w:cs="Calibri"/>
                <w:sz w:val="20"/>
                <w:szCs w:val="20"/>
              </w:rPr>
              <w:t xml:space="preserve"> + N social partners</w:t>
            </w:r>
            <w:r>
              <w:rPr>
                <w:rFonts w:ascii="Calibri" w:eastAsia="Calibri" w:hAnsi="Calibri" w:cs="Calibri"/>
                <w:sz w:val="20"/>
                <w:szCs w:val="20"/>
                <w:vertAlign w:val="subscript"/>
              </w:rPr>
              <w:t>month</w:t>
            </w:r>
          </w:p>
        </w:tc>
        <w:tc>
          <w:tcPr>
            <w:tcW w:w="1279" w:type="dxa"/>
            <w:shd w:val="clear" w:color="auto" w:fill="auto"/>
            <w:tcMar>
              <w:top w:w="100" w:type="dxa"/>
              <w:left w:w="100" w:type="dxa"/>
              <w:bottom w:w="100" w:type="dxa"/>
              <w:right w:w="100" w:type="dxa"/>
            </w:tcMar>
            <w:vAlign w:val="center"/>
          </w:tcPr>
          <w:p w14:paraId="786F9AC4"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293 subject months</w:t>
            </w:r>
          </w:p>
        </w:tc>
      </w:tr>
      <w:tr w:rsidR="00761594" w14:paraId="067E8B63" w14:textId="77777777">
        <w:tc>
          <w:tcPr>
            <w:tcW w:w="2100" w:type="dxa"/>
            <w:shd w:val="clear" w:color="auto" w:fill="auto"/>
            <w:tcMar>
              <w:top w:w="100" w:type="dxa"/>
              <w:left w:w="100" w:type="dxa"/>
              <w:bottom w:w="100" w:type="dxa"/>
              <w:right w:w="100" w:type="dxa"/>
            </w:tcMar>
          </w:tcPr>
          <w:p w14:paraId="1D37BC9A" w14:textId="77777777" w:rsidR="00761594" w:rsidRDefault="00000000">
            <w:pPr>
              <w:widowControl w:val="0"/>
              <w:pBdr>
                <w:top w:val="nil"/>
                <w:left w:val="nil"/>
                <w:bottom w:val="nil"/>
                <w:right w:val="nil"/>
                <w:between w:val="nil"/>
              </w:pBdr>
              <w:jc w:val="center"/>
              <w:rPr>
                <w:rFonts w:ascii="Calibri" w:eastAsia="Calibri" w:hAnsi="Calibri" w:cs="Calibri"/>
                <w:i/>
                <w:sz w:val="20"/>
                <w:szCs w:val="20"/>
              </w:rPr>
            </w:pPr>
            <w:r>
              <w:rPr>
                <w:rFonts w:ascii="Calibri" w:eastAsia="Calibri" w:hAnsi="Calibri" w:cs="Calibri"/>
                <w:i/>
                <w:sz w:val="20"/>
                <w:szCs w:val="20"/>
              </w:rPr>
              <w:t>fGC mediation of constraints:</w:t>
            </w:r>
          </w:p>
        </w:tc>
        <w:tc>
          <w:tcPr>
            <w:tcW w:w="1590" w:type="dxa"/>
            <w:shd w:val="clear" w:color="auto" w:fill="auto"/>
            <w:tcMar>
              <w:top w:w="100" w:type="dxa"/>
              <w:left w:w="100" w:type="dxa"/>
              <w:bottom w:w="100" w:type="dxa"/>
              <w:right w:w="100" w:type="dxa"/>
            </w:tcMar>
          </w:tcPr>
          <w:p w14:paraId="7E4B307D" w14:textId="77777777" w:rsidR="00761594" w:rsidRDefault="00761594">
            <w:pPr>
              <w:widowControl w:val="0"/>
              <w:jc w:val="center"/>
              <w:rPr>
                <w:rFonts w:ascii="Calibri" w:eastAsia="Calibri" w:hAnsi="Calibri" w:cs="Calibri"/>
                <w:b/>
                <w:sz w:val="20"/>
                <w:szCs w:val="20"/>
              </w:rPr>
            </w:pPr>
          </w:p>
        </w:tc>
        <w:tc>
          <w:tcPr>
            <w:tcW w:w="4875" w:type="dxa"/>
            <w:shd w:val="clear" w:color="auto" w:fill="auto"/>
            <w:tcMar>
              <w:top w:w="100" w:type="dxa"/>
              <w:left w:w="100" w:type="dxa"/>
              <w:bottom w:w="100" w:type="dxa"/>
              <w:right w:w="100" w:type="dxa"/>
            </w:tcMar>
          </w:tcPr>
          <w:p w14:paraId="259035BB" w14:textId="77777777" w:rsidR="00761594" w:rsidRDefault="00761594">
            <w:pPr>
              <w:widowControl w:val="0"/>
              <w:jc w:val="center"/>
              <w:rPr>
                <w:rFonts w:ascii="Calibri" w:eastAsia="Calibri" w:hAnsi="Calibri" w:cs="Calibri"/>
                <w:b/>
                <w:sz w:val="20"/>
                <w:szCs w:val="20"/>
              </w:rPr>
            </w:pPr>
          </w:p>
        </w:tc>
        <w:tc>
          <w:tcPr>
            <w:tcW w:w="1279" w:type="dxa"/>
            <w:shd w:val="clear" w:color="auto" w:fill="auto"/>
            <w:tcMar>
              <w:top w:w="100" w:type="dxa"/>
              <w:left w:w="100" w:type="dxa"/>
              <w:bottom w:w="100" w:type="dxa"/>
              <w:right w:w="100" w:type="dxa"/>
            </w:tcMar>
          </w:tcPr>
          <w:p w14:paraId="286A0640"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288 subject months</w:t>
            </w:r>
          </w:p>
        </w:tc>
      </w:tr>
      <w:tr w:rsidR="00761594" w14:paraId="74FD64E7" w14:textId="77777777">
        <w:trPr>
          <w:trHeight w:val="724"/>
        </w:trPr>
        <w:tc>
          <w:tcPr>
            <w:tcW w:w="2100" w:type="dxa"/>
            <w:shd w:val="clear" w:color="auto" w:fill="auto"/>
            <w:tcMar>
              <w:top w:w="100" w:type="dxa"/>
              <w:left w:w="100" w:type="dxa"/>
              <w:bottom w:w="100" w:type="dxa"/>
              <w:right w:w="100" w:type="dxa"/>
            </w:tcMar>
          </w:tcPr>
          <w:p w14:paraId="3FB6090A"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 xml:space="preserve"> 8a. Total effect</w:t>
            </w:r>
          </w:p>
        </w:tc>
        <w:tc>
          <w:tcPr>
            <w:tcW w:w="1590" w:type="dxa"/>
            <w:shd w:val="clear" w:color="auto" w:fill="auto"/>
            <w:tcMar>
              <w:top w:w="100" w:type="dxa"/>
              <w:left w:w="100" w:type="dxa"/>
              <w:bottom w:w="100" w:type="dxa"/>
              <w:right w:w="100" w:type="dxa"/>
            </w:tcMar>
          </w:tcPr>
          <w:p w14:paraId="4585A7B0"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log</w:t>
            </w:r>
            <w:r>
              <w:rPr>
                <w:rFonts w:ascii="Calibri" w:eastAsia="Calibri" w:hAnsi="Calibri" w:cs="Calibri"/>
                <w:sz w:val="20"/>
                <w:szCs w:val="20"/>
                <w:vertAlign w:val="subscript"/>
              </w:rPr>
              <w:t>2</w:t>
            </w:r>
            <w:r>
              <w:rPr>
                <w:rFonts w:ascii="Calibri" w:eastAsia="Calibri" w:hAnsi="Calibri" w:cs="Calibri"/>
                <w:sz w:val="20"/>
                <w:szCs w:val="20"/>
              </w:rPr>
              <w:t xml:space="preserve"> Neopterin</w:t>
            </w:r>
            <w:r>
              <w:rPr>
                <w:rFonts w:ascii="Calibri" w:eastAsia="Calibri" w:hAnsi="Calibri" w:cs="Calibri"/>
                <w:sz w:val="20"/>
                <w:szCs w:val="20"/>
                <w:vertAlign w:val="subscript"/>
              </w:rPr>
              <w:t>month</w:t>
            </w:r>
          </w:p>
        </w:tc>
        <w:tc>
          <w:tcPr>
            <w:tcW w:w="4875" w:type="dxa"/>
            <w:shd w:val="clear" w:color="auto" w:fill="auto"/>
            <w:tcMar>
              <w:top w:w="100" w:type="dxa"/>
              <w:left w:w="100" w:type="dxa"/>
              <w:bottom w:w="100" w:type="dxa"/>
              <w:right w:w="100" w:type="dxa"/>
            </w:tcMar>
          </w:tcPr>
          <w:p w14:paraId="337EE9B9"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Age + Sex + log</w:t>
            </w:r>
            <w:r>
              <w:rPr>
                <w:rFonts w:ascii="Calibri" w:eastAsia="Calibri" w:hAnsi="Calibri" w:cs="Calibri"/>
                <w:sz w:val="20"/>
                <w:szCs w:val="20"/>
                <w:vertAlign w:val="subscript"/>
              </w:rPr>
              <w:t>2</w:t>
            </w:r>
            <w:r>
              <w:rPr>
                <w:rFonts w:ascii="Calibri" w:eastAsia="Calibri" w:hAnsi="Calibri" w:cs="Calibri"/>
                <w:sz w:val="20"/>
                <w:szCs w:val="20"/>
              </w:rPr>
              <w:t xml:space="preserve"> uCP</w:t>
            </w:r>
            <w:r>
              <w:rPr>
                <w:rFonts w:ascii="Calibri" w:eastAsia="Calibri" w:hAnsi="Calibri" w:cs="Calibri"/>
                <w:sz w:val="20"/>
                <w:szCs w:val="20"/>
                <w:vertAlign w:val="subscript"/>
              </w:rPr>
              <w:t>month</w:t>
            </w:r>
          </w:p>
        </w:tc>
        <w:tc>
          <w:tcPr>
            <w:tcW w:w="1279" w:type="dxa"/>
            <w:shd w:val="clear" w:color="auto" w:fill="auto"/>
            <w:tcMar>
              <w:top w:w="100" w:type="dxa"/>
              <w:left w:w="100" w:type="dxa"/>
              <w:bottom w:w="100" w:type="dxa"/>
              <w:right w:w="100" w:type="dxa"/>
            </w:tcMar>
          </w:tcPr>
          <w:p w14:paraId="26D92F6E" w14:textId="77777777" w:rsidR="00761594" w:rsidRDefault="00761594">
            <w:pPr>
              <w:widowControl w:val="0"/>
              <w:jc w:val="center"/>
              <w:rPr>
                <w:rFonts w:ascii="Calibri" w:eastAsia="Calibri" w:hAnsi="Calibri" w:cs="Calibri"/>
                <w:sz w:val="20"/>
                <w:szCs w:val="20"/>
              </w:rPr>
            </w:pPr>
          </w:p>
        </w:tc>
      </w:tr>
      <w:tr w:rsidR="00761594" w14:paraId="587CEFA7" w14:textId="77777777">
        <w:trPr>
          <w:trHeight w:val="724"/>
        </w:trPr>
        <w:tc>
          <w:tcPr>
            <w:tcW w:w="2100" w:type="dxa"/>
            <w:shd w:val="clear" w:color="auto" w:fill="auto"/>
            <w:tcMar>
              <w:top w:w="100" w:type="dxa"/>
              <w:left w:w="100" w:type="dxa"/>
              <w:bottom w:w="100" w:type="dxa"/>
              <w:right w:w="100" w:type="dxa"/>
            </w:tcMar>
          </w:tcPr>
          <w:p w14:paraId="3814D8DF"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8b. Effect on mediator</w:t>
            </w:r>
          </w:p>
        </w:tc>
        <w:tc>
          <w:tcPr>
            <w:tcW w:w="1590" w:type="dxa"/>
            <w:shd w:val="clear" w:color="auto" w:fill="auto"/>
            <w:tcMar>
              <w:top w:w="100" w:type="dxa"/>
              <w:left w:w="100" w:type="dxa"/>
              <w:bottom w:w="100" w:type="dxa"/>
              <w:right w:w="100" w:type="dxa"/>
            </w:tcMar>
          </w:tcPr>
          <w:p w14:paraId="12D0AC85"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log</w:t>
            </w:r>
            <w:r>
              <w:rPr>
                <w:rFonts w:ascii="Calibri" w:eastAsia="Calibri" w:hAnsi="Calibri" w:cs="Calibri"/>
                <w:sz w:val="20"/>
                <w:szCs w:val="20"/>
                <w:vertAlign w:val="subscript"/>
              </w:rPr>
              <w:t>2</w:t>
            </w:r>
            <w:r>
              <w:rPr>
                <w:rFonts w:ascii="Calibri" w:eastAsia="Calibri" w:hAnsi="Calibri" w:cs="Calibri"/>
                <w:sz w:val="20"/>
                <w:szCs w:val="20"/>
              </w:rPr>
              <w:t xml:space="preserve"> fGCs</w:t>
            </w:r>
            <w:r>
              <w:rPr>
                <w:rFonts w:ascii="Calibri" w:eastAsia="Calibri" w:hAnsi="Calibri" w:cs="Calibri"/>
                <w:sz w:val="20"/>
                <w:szCs w:val="20"/>
                <w:vertAlign w:val="subscript"/>
              </w:rPr>
              <w:t>month</w:t>
            </w:r>
          </w:p>
        </w:tc>
        <w:tc>
          <w:tcPr>
            <w:tcW w:w="4875" w:type="dxa"/>
            <w:shd w:val="clear" w:color="auto" w:fill="auto"/>
            <w:tcMar>
              <w:top w:w="100" w:type="dxa"/>
              <w:left w:w="100" w:type="dxa"/>
              <w:bottom w:w="100" w:type="dxa"/>
              <w:right w:w="100" w:type="dxa"/>
            </w:tcMar>
          </w:tcPr>
          <w:p w14:paraId="6A77250F"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Age + Sex + log</w:t>
            </w:r>
            <w:r>
              <w:rPr>
                <w:rFonts w:ascii="Calibri" w:eastAsia="Calibri" w:hAnsi="Calibri" w:cs="Calibri"/>
                <w:sz w:val="20"/>
                <w:szCs w:val="20"/>
                <w:vertAlign w:val="subscript"/>
              </w:rPr>
              <w:t>2</w:t>
            </w:r>
            <w:r>
              <w:rPr>
                <w:rFonts w:ascii="Calibri" w:eastAsia="Calibri" w:hAnsi="Calibri" w:cs="Calibri"/>
                <w:sz w:val="20"/>
                <w:szCs w:val="20"/>
              </w:rPr>
              <w:t xml:space="preserve"> uCP</w:t>
            </w:r>
            <w:r>
              <w:rPr>
                <w:rFonts w:ascii="Calibri" w:eastAsia="Calibri" w:hAnsi="Calibri" w:cs="Calibri"/>
                <w:sz w:val="20"/>
                <w:szCs w:val="20"/>
                <w:vertAlign w:val="subscript"/>
              </w:rPr>
              <w:t>month</w:t>
            </w:r>
          </w:p>
        </w:tc>
        <w:tc>
          <w:tcPr>
            <w:tcW w:w="1279" w:type="dxa"/>
            <w:shd w:val="clear" w:color="auto" w:fill="auto"/>
            <w:tcMar>
              <w:top w:w="100" w:type="dxa"/>
              <w:left w:w="100" w:type="dxa"/>
              <w:bottom w:w="100" w:type="dxa"/>
              <w:right w:w="100" w:type="dxa"/>
            </w:tcMar>
          </w:tcPr>
          <w:p w14:paraId="77D599DF" w14:textId="77777777" w:rsidR="00761594" w:rsidRDefault="00761594">
            <w:pPr>
              <w:widowControl w:val="0"/>
              <w:jc w:val="center"/>
              <w:rPr>
                <w:rFonts w:ascii="Calibri" w:eastAsia="Calibri" w:hAnsi="Calibri" w:cs="Calibri"/>
                <w:sz w:val="20"/>
                <w:szCs w:val="20"/>
              </w:rPr>
            </w:pPr>
          </w:p>
        </w:tc>
      </w:tr>
      <w:tr w:rsidR="00761594" w14:paraId="3157C99A" w14:textId="77777777">
        <w:tc>
          <w:tcPr>
            <w:tcW w:w="2100" w:type="dxa"/>
            <w:shd w:val="clear" w:color="auto" w:fill="auto"/>
            <w:tcMar>
              <w:top w:w="100" w:type="dxa"/>
              <w:left w:w="100" w:type="dxa"/>
              <w:bottom w:w="100" w:type="dxa"/>
              <w:right w:w="100" w:type="dxa"/>
            </w:tcMar>
          </w:tcPr>
          <w:p w14:paraId="4C02CC3C" w14:textId="77777777" w:rsidR="00761594" w:rsidRDefault="00000000">
            <w:pPr>
              <w:widowControl w:val="0"/>
              <w:pBdr>
                <w:top w:val="nil"/>
                <w:left w:val="nil"/>
                <w:bottom w:val="nil"/>
                <w:right w:val="nil"/>
                <w:between w:val="nil"/>
              </w:pBdr>
              <w:jc w:val="center"/>
              <w:rPr>
                <w:rFonts w:ascii="Calibri" w:eastAsia="Calibri" w:hAnsi="Calibri" w:cs="Calibri"/>
                <w:sz w:val="20"/>
                <w:szCs w:val="20"/>
              </w:rPr>
            </w:pPr>
            <w:r>
              <w:rPr>
                <w:rFonts w:ascii="Calibri" w:eastAsia="Calibri" w:hAnsi="Calibri" w:cs="Calibri"/>
                <w:sz w:val="20"/>
                <w:szCs w:val="20"/>
              </w:rPr>
              <w:t>8c. Direct effect</w:t>
            </w:r>
          </w:p>
        </w:tc>
        <w:tc>
          <w:tcPr>
            <w:tcW w:w="1590" w:type="dxa"/>
            <w:shd w:val="clear" w:color="auto" w:fill="auto"/>
            <w:tcMar>
              <w:top w:w="100" w:type="dxa"/>
              <w:left w:w="100" w:type="dxa"/>
              <w:bottom w:w="100" w:type="dxa"/>
              <w:right w:w="100" w:type="dxa"/>
            </w:tcMar>
          </w:tcPr>
          <w:p w14:paraId="2261E939"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log</w:t>
            </w:r>
            <w:r>
              <w:rPr>
                <w:rFonts w:ascii="Calibri" w:eastAsia="Calibri" w:hAnsi="Calibri" w:cs="Calibri"/>
                <w:sz w:val="20"/>
                <w:szCs w:val="20"/>
                <w:vertAlign w:val="subscript"/>
              </w:rPr>
              <w:t>2</w:t>
            </w:r>
            <w:r>
              <w:rPr>
                <w:rFonts w:ascii="Calibri" w:eastAsia="Calibri" w:hAnsi="Calibri" w:cs="Calibri"/>
                <w:sz w:val="20"/>
                <w:szCs w:val="20"/>
              </w:rPr>
              <w:t xml:space="preserve"> Neopterin</w:t>
            </w:r>
            <w:r>
              <w:rPr>
                <w:rFonts w:ascii="Calibri" w:eastAsia="Calibri" w:hAnsi="Calibri" w:cs="Calibri"/>
                <w:sz w:val="20"/>
                <w:szCs w:val="20"/>
                <w:vertAlign w:val="subscript"/>
              </w:rPr>
              <w:t>month</w:t>
            </w:r>
          </w:p>
        </w:tc>
        <w:tc>
          <w:tcPr>
            <w:tcW w:w="4875" w:type="dxa"/>
            <w:shd w:val="clear" w:color="auto" w:fill="auto"/>
            <w:tcMar>
              <w:top w:w="100" w:type="dxa"/>
              <w:left w:w="100" w:type="dxa"/>
              <w:bottom w:w="100" w:type="dxa"/>
              <w:right w:w="100" w:type="dxa"/>
            </w:tcMar>
          </w:tcPr>
          <w:p w14:paraId="213CF7DD" w14:textId="77777777" w:rsidR="00761594" w:rsidRDefault="00000000">
            <w:pPr>
              <w:widowControl w:val="0"/>
              <w:jc w:val="center"/>
              <w:rPr>
                <w:rFonts w:ascii="Calibri" w:eastAsia="Calibri" w:hAnsi="Calibri" w:cs="Calibri"/>
                <w:sz w:val="20"/>
                <w:szCs w:val="20"/>
              </w:rPr>
            </w:pPr>
            <w:r>
              <w:rPr>
                <w:rFonts w:ascii="Calibri" w:eastAsia="Calibri" w:hAnsi="Calibri" w:cs="Calibri"/>
                <w:sz w:val="20"/>
                <w:szCs w:val="20"/>
              </w:rPr>
              <w:t>Age + Sex + log</w:t>
            </w:r>
            <w:r>
              <w:rPr>
                <w:rFonts w:ascii="Calibri" w:eastAsia="Calibri" w:hAnsi="Calibri" w:cs="Calibri"/>
                <w:sz w:val="20"/>
                <w:szCs w:val="20"/>
                <w:vertAlign w:val="subscript"/>
              </w:rPr>
              <w:t>2</w:t>
            </w:r>
            <w:r>
              <w:rPr>
                <w:rFonts w:ascii="Calibri" w:eastAsia="Calibri" w:hAnsi="Calibri" w:cs="Calibri"/>
                <w:sz w:val="20"/>
                <w:szCs w:val="20"/>
              </w:rPr>
              <w:t xml:space="preserve"> uCP</w:t>
            </w:r>
            <w:r>
              <w:rPr>
                <w:rFonts w:ascii="Calibri" w:eastAsia="Calibri" w:hAnsi="Calibri" w:cs="Calibri"/>
                <w:sz w:val="20"/>
                <w:szCs w:val="20"/>
                <w:vertAlign w:val="subscript"/>
              </w:rPr>
              <w:t>month</w:t>
            </w:r>
            <w:r>
              <w:rPr>
                <w:rFonts w:ascii="Calibri" w:eastAsia="Calibri" w:hAnsi="Calibri" w:cs="Calibri"/>
                <w:sz w:val="20"/>
                <w:szCs w:val="20"/>
              </w:rPr>
              <w:t xml:space="preserve"> +  fGC</w:t>
            </w:r>
            <w:r>
              <w:rPr>
                <w:rFonts w:ascii="Calibri" w:eastAsia="Calibri" w:hAnsi="Calibri" w:cs="Calibri"/>
                <w:sz w:val="20"/>
                <w:szCs w:val="20"/>
                <w:vertAlign w:val="subscript"/>
              </w:rPr>
              <w:t>month</w:t>
            </w:r>
          </w:p>
        </w:tc>
        <w:tc>
          <w:tcPr>
            <w:tcW w:w="1279" w:type="dxa"/>
            <w:shd w:val="clear" w:color="auto" w:fill="auto"/>
            <w:tcMar>
              <w:top w:w="100" w:type="dxa"/>
              <w:left w:w="100" w:type="dxa"/>
              <w:bottom w:w="100" w:type="dxa"/>
              <w:right w:w="100" w:type="dxa"/>
            </w:tcMar>
          </w:tcPr>
          <w:p w14:paraId="3AFDB00E" w14:textId="77777777" w:rsidR="00761594" w:rsidRDefault="00761594">
            <w:pPr>
              <w:widowControl w:val="0"/>
              <w:jc w:val="center"/>
              <w:rPr>
                <w:rFonts w:ascii="Calibri" w:eastAsia="Calibri" w:hAnsi="Calibri" w:cs="Calibri"/>
                <w:sz w:val="20"/>
                <w:szCs w:val="20"/>
              </w:rPr>
            </w:pPr>
          </w:p>
        </w:tc>
      </w:tr>
    </w:tbl>
    <w:p w14:paraId="0FDDDB7C" w14:textId="77777777" w:rsidR="00761594" w:rsidRDefault="00761594">
      <w:pPr>
        <w:rPr>
          <w:rFonts w:ascii="Calibri" w:eastAsia="Calibri" w:hAnsi="Calibri" w:cs="Calibri"/>
        </w:rPr>
      </w:pPr>
    </w:p>
    <w:p w14:paraId="4D39E2E9" w14:textId="77777777" w:rsidR="00761594" w:rsidRDefault="00000000">
      <w:pPr>
        <w:rPr>
          <w:rFonts w:ascii="Calibri" w:eastAsia="Calibri" w:hAnsi="Calibri" w:cs="Calibri"/>
        </w:rPr>
      </w:pPr>
      <w:r>
        <w:rPr>
          <w:rFonts w:ascii="Calibri" w:eastAsia="Calibri" w:hAnsi="Calibri" w:cs="Calibri"/>
        </w:rPr>
        <w:lastRenderedPageBreak/>
        <w:t>*All models include subject ID as a random effect. **Also includes month as a random effect.</w:t>
      </w:r>
    </w:p>
    <w:p w14:paraId="40C2EDB2" w14:textId="77777777" w:rsidR="00761594" w:rsidRDefault="00761594">
      <w:pPr>
        <w:rPr>
          <w:rFonts w:ascii="Calibri" w:eastAsia="Calibri" w:hAnsi="Calibri" w:cs="Calibri"/>
        </w:rPr>
      </w:pPr>
    </w:p>
    <w:p w14:paraId="11259278" w14:textId="77777777" w:rsidR="00761594" w:rsidRDefault="00000000">
      <w:pPr>
        <w:rPr>
          <w:rFonts w:ascii="Calibri" w:eastAsia="Calibri" w:hAnsi="Calibri" w:cs="Calibri"/>
          <w:b/>
        </w:rPr>
      </w:pPr>
      <w:r>
        <w:rPr>
          <w:rFonts w:ascii="Calibri" w:eastAsia="Calibri" w:hAnsi="Calibri" w:cs="Calibri"/>
          <w:b/>
        </w:rPr>
        <w:t>Results</w:t>
      </w:r>
    </w:p>
    <w:p w14:paraId="6970C009" w14:textId="77777777" w:rsidR="00761594" w:rsidRDefault="00000000">
      <w:pPr>
        <w:numPr>
          <w:ilvl w:val="0"/>
          <w:numId w:val="1"/>
        </w:numPr>
        <w:rPr>
          <w:rFonts w:ascii="Calibri" w:eastAsia="Calibri" w:hAnsi="Calibri" w:cs="Calibri"/>
          <w:i/>
        </w:rPr>
      </w:pPr>
      <w:r>
        <w:rPr>
          <w:rFonts w:ascii="Calibri" w:eastAsia="Calibri" w:hAnsi="Calibri" w:cs="Calibri"/>
          <w:i/>
        </w:rPr>
        <w:t>Costs of immune activity</w:t>
      </w:r>
    </w:p>
    <w:p w14:paraId="25840D2F" w14:textId="42B3A2F1" w:rsidR="00761594" w:rsidRDefault="00000000">
      <w:pPr>
        <w:ind w:firstLine="720"/>
        <w:rPr>
          <w:rFonts w:ascii="Calibri" w:eastAsia="Calibri" w:hAnsi="Calibri" w:cs="Calibri"/>
        </w:rPr>
      </w:pPr>
      <w:r>
        <w:rPr>
          <w:rFonts w:ascii="Calibri" w:eastAsia="Calibri" w:hAnsi="Calibri" w:cs="Calibri"/>
        </w:rPr>
        <w:t xml:space="preserve">Counter to predictions of the energetic costs and prioritization of immune activity, we found that higher monthly concentrations of neopterin did not predict lower monthly growth and had a positive relationship with monthly energy balance (uCP, Table 1). </w:t>
      </w:r>
      <w:r w:rsidR="003B4E97">
        <w:rPr>
          <w:rFonts w:ascii="Calibri" w:eastAsia="Calibri" w:hAnsi="Calibri" w:cs="Calibri"/>
        </w:rPr>
        <w:t>Nevertheless,</w:t>
      </w:r>
      <w:r>
        <w:rPr>
          <w:rFonts w:ascii="Calibri" w:eastAsia="Calibri" w:hAnsi="Calibri" w:cs="Calibri"/>
        </w:rPr>
        <w:t xml:space="preserve"> at shorter time scales, higher neopterin concentrations at sample t</w:t>
      </w:r>
      <w:r>
        <w:rPr>
          <w:rFonts w:ascii="Calibri" w:eastAsia="Calibri" w:hAnsi="Calibri" w:cs="Calibri"/>
          <w:vertAlign w:val="subscript"/>
        </w:rPr>
        <w:t>0</w:t>
      </w:r>
      <w:r>
        <w:rPr>
          <w:rFonts w:ascii="Calibri" w:eastAsia="Calibri" w:hAnsi="Calibri" w:cs="Calibri"/>
        </w:rPr>
        <w:t xml:space="preserve"> resulted in smaller subsequent changes in ELBM at t</w:t>
      </w:r>
      <w:r>
        <w:rPr>
          <w:rFonts w:ascii="Calibri" w:eastAsia="Calibri" w:hAnsi="Calibri" w:cs="Calibri"/>
          <w:vertAlign w:val="subscript"/>
        </w:rPr>
        <w:t>1</w:t>
      </w:r>
      <w:r>
        <w:rPr>
          <w:rFonts w:ascii="Calibri" w:eastAsia="Calibri" w:hAnsi="Calibri" w:cs="Calibri"/>
        </w:rPr>
        <w:t xml:space="preserve"> (Table 3, Fig. 1). Consistent with an acute effect of immune activity on growth, the relationship between sample neopterin and short-term growth faded as the interval between sampling times became longer (Fig. 2). The relationship between neopterin and short-term growth, alongside an absence of neopterin’s influence on monthly growth, suggests compensation in growth after acute rises in inflammation subside. </w:t>
      </w:r>
      <w:r w:rsidR="004435CC" w:rsidRPr="004435CC">
        <w:rPr>
          <w:rFonts w:ascii="Calibri" w:eastAsia="Calibri" w:hAnsi="Calibri" w:cs="Calibri"/>
          <w:color w:val="0070C0"/>
        </w:rPr>
        <w:t>The negative relationship between</w:t>
      </w:r>
      <w:r w:rsidR="004435CC">
        <w:rPr>
          <w:rFonts w:ascii="Calibri" w:eastAsia="Calibri" w:hAnsi="Calibri" w:cs="Calibri"/>
          <w:color w:val="0070C0"/>
        </w:rPr>
        <w:t xml:space="preserve"> short term changes in body mass and neopterin concentrations was present in</w:t>
      </w:r>
      <w:r w:rsidR="001E12B6">
        <w:rPr>
          <w:rFonts w:ascii="Calibri" w:eastAsia="Calibri" w:hAnsi="Calibri" w:cs="Calibri"/>
          <w:color w:val="0070C0"/>
        </w:rPr>
        <w:t xml:space="preserve"> most </w:t>
      </w:r>
      <w:r w:rsidR="004435CC">
        <w:rPr>
          <w:rFonts w:ascii="Calibri" w:eastAsia="Calibri" w:hAnsi="Calibri" w:cs="Calibri"/>
          <w:color w:val="0070C0"/>
        </w:rPr>
        <w:t>within-individual analyses,</w:t>
      </w:r>
      <w:r w:rsidR="001E12B6">
        <w:rPr>
          <w:rFonts w:ascii="Calibri" w:eastAsia="Calibri" w:hAnsi="Calibri" w:cs="Calibri"/>
          <w:color w:val="0070C0"/>
        </w:rPr>
        <w:t xml:space="preserve"> 26 of 41,</w:t>
      </w:r>
      <w:r w:rsidR="004435CC">
        <w:rPr>
          <w:rFonts w:ascii="Calibri" w:eastAsia="Calibri" w:hAnsi="Calibri" w:cs="Calibri"/>
          <w:color w:val="0070C0"/>
        </w:rPr>
        <w:t xml:space="preserve"> where the mean slope and </w:t>
      </w:r>
      <w:r w:rsidR="001E12B6">
        <w:rPr>
          <w:rFonts w:ascii="Calibri" w:eastAsia="Calibri" w:hAnsi="Calibri" w:cs="Calibri"/>
          <w:color w:val="0070C0"/>
        </w:rPr>
        <w:t xml:space="preserve">its </w:t>
      </w:r>
      <w:r w:rsidR="004435CC">
        <w:rPr>
          <w:rFonts w:ascii="Calibri" w:eastAsia="Calibri" w:hAnsi="Calibri" w:cs="Calibri"/>
          <w:color w:val="0070C0"/>
        </w:rPr>
        <w:t xml:space="preserve">the mean standard error were </w:t>
      </w:r>
      <w:r w:rsidR="004435CC" w:rsidRPr="004435CC">
        <w:rPr>
          <w:rFonts w:ascii="Calibri" w:eastAsia="Calibri" w:hAnsi="Calibri" w:cs="Calibri"/>
          <w:color w:val="0070C0"/>
        </w:rPr>
        <w:t>-0.15 ± 0.27</w:t>
      </w:r>
      <w:r w:rsidR="004435CC">
        <w:rPr>
          <w:rFonts w:ascii="Calibri" w:eastAsia="Calibri" w:hAnsi="Calibri" w:cs="Calibri"/>
          <w:color w:val="0070C0"/>
        </w:rPr>
        <w:t>.</w:t>
      </w:r>
      <w:r w:rsidR="004435CC">
        <w:rPr>
          <w:rFonts w:ascii="Calibri" w:eastAsia="Calibri" w:hAnsi="Calibri" w:cs="Calibri"/>
        </w:rPr>
        <w:t xml:space="preserve"> </w:t>
      </w:r>
      <w:r w:rsidR="001E12B6">
        <w:rPr>
          <w:rFonts w:ascii="Calibri" w:eastAsia="Calibri" w:hAnsi="Calibri" w:cs="Calibri"/>
        </w:rPr>
        <w:t>Lastly,</w:t>
      </w:r>
      <w:r>
        <w:rPr>
          <w:rFonts w:ascii="Calibri" w:eastAsia="Calibri" w:hAnsi="Calibri" w:cs="Calibri"/>
        </w:rPr>
        <w:t xml:space="preserve"> in line with sickness behavior, higher concentrations of monthly neopterin corresponded with increased time spent resting (ß = 0.014 ± 0.005, p = 0.003, Table S2). Neopterin concentration had no relationship with monthly time spent feeding or locomoting.</w:t>
      </w:r>
    </w:p>
    <w:p w14:paraId="55FA9DD6" w14:textId="77777777" w:rsidR="00761594" w:rsidRDefault="00761594">
      <w:pPr>
        <w:rPr>
          <w:rFonts w:ascii="Calibri" w:eastAsia="Calibri" w:hAnsi="Calibri" w:cs="Calibri"/>
        </w:rPr>
      </w:pPr>
    </w:p>
    <w:p w14:paraId="0A860BD0" w14:textId="77777777" w:rsidR="00761594" w:rsidRDefault="00000000">
      <w:pPr>
        <w:rPr>
          <w:rFonts w:ascii="Calibri" w:eastAsia="Calibri" w:hAnsi="Calibri" w:cs="Calibri"/>
        </w:rPr>
      </w:pPr>
      <w:r>
        <w:rPr>
          <w:rFonts w:ascii="Calibri" w:eastAsia="Calibri" w:hAnsi="Calibri" w:cs="Calibri"/>
          <w:noProof/>
        </w:rPr>
        <w:drawing>
          <wp:inline distT="114300" distB="114300" distL="114300" distR="114300" wp14:anchorId="219EB312" wp14:editId="60489001">
            <wp:extent cx="4371975" cy="286182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4"/>
                    <a:srcRect/>
                    <a:stretch>
                      <a:fillRect/>
                    </a:stretch>
                  </pic:blipFill>
                  <pic:spPr>
                    <a:xfrm>
                      <a:off x="0" y="0"/>
                      <a:ext cx="4371975" cy="2861826"/>
                    </a:xfrm>
                    <a:prstGeom prst="rect">
                      <a:avLst/>
                    </a:prstGeom>
                    <a:ln/>
                  </pic:spPr>
                </pic:pic>
              </a:graphicData>
            </a:graphic>
          </wp:inline>
        </w:drawing>
      </w:r>
    </w:p>
    <w:p w14:paraId="537FE1B5" w14:textId="77777777" w:rsidR="00761594" w:rsidRDefault="00000000">
      <w:pPr>
        <w:rPr>
          <w:rFonts w:ascii="Calibri" w:eastAsia="Calibri" w:hAnsi="Calibri" w:cs="Calibri"/>
        </w:rPr>
      </w:pPr>
      <w:r>
        <w:rPr>
          <w:rFonts w:ascii="Calibri" w:eastAsia="Calibri" w:hAnsi="Calibri" w:cs="Calibri"/>
          <w:b/>
        </w:rPr>
        <w:t>Figure 1.</w:t>
      </w:r>
      <w:r>
        <w:rPr>
          <w:rFonts w:ascii="Calibri" w:eastAsia="Calibri" w:hAnsi="Calibri" w:cs="Calibri"/>
        </w:rPr>
        <w:t xml:space="preserve"> Decrease of short-term growth (estimated lean body mass at sample t</w:t>
      </w:r>
      <w:r>
        <w:rPr>
          <w:rFonts w:ascii="Calibri" w:eastAsia="Calibri" w:hAnsi="Calibri" w:cs="Calibri"/>
          <w:vertAlign w:val="subscript"/>
        </w:rPr>
        <w:t>2</w:t>
      </w:r>
      <w:r>
        <w:rPr>
          <w:rFonts w:ascii="Calibri" w:eastAsia="Calibri" w:hAnsi="Calibri" w:cs="Calibri"/>
        </w:rPr>
        <w:t>-t</w:t>
      </w:r>
      <w:r>
        <w:rPr>
          <w:rFonts w:ascii="Calibri" w:eastAsia="Calibri" w:hAnsi="Calibri" w:cs="Calibri"/>
          <w:vertAlign w:val="subscript"/>
        </w:rPr>
        <w:t>1</w:t>
      </w:r>
      <w:r>
        <w:rPr>
          <w:rFonts w:ascii="Calibri" w:eastAsia="Calibri" w:hAnsi="Calibri" w:cs="Calibri"/>
        </w:rPr>
        <w:t>) with cellular immune activity (neopterin concentrations at sample t</w:t>
      </w:r>
      <w:r>
        <w:rPr>
          <w:rFonts w:ascii="Calibri" w:eastAsia="Calibri" w:hAnsi="Calibri" w:cs="Calibri"/>
          <w:vertAlign w:val="subscript"/>
        </w:rPr>
        <w:t>1</w:t>
      </w:r>
      <w:r>
        <w:rPr>
          <w:rFonts w:ascii="Calibri" w:eastAsia="Calibri" w:hAnsi="Calibri" w:cs="Calibri"/>
        </w:rPr>
        <w:t>) using LMM, n = 520. Points indicate subject-sample values for males (blue) and females (red).</w:t>
      </w:r>
    </w:p>
    <w:p w14:paraId="6C02D0F7" w14:textId="77777777" w:rsidR="00761594" w:rsidRDefault="00761594">
      <w:pPr>
        <w:rPr>
          <w:rFonts w:ascii="Calibri" w:eastAsia="Calibri" w:hAnsi="Calibri" w:cs="Calibri"/>
        </w:rPr>
      </w:pPr>
    </w:p>
    <w:p w14:paraId="4317895E" w14:textId="77777777" w:rsidR="00761594" w:rsidRDefault="00761594">
      <w:pPr>
        <w:rPr>
          <w:rFonts w:ascii="Calibri" w:eastAsia="Calibri" w:hAnsi="Calibri" w:cs="Calibri"/>
        </w:rPr>
      </w:pPr>
    </w:p>
    <w:p w14:paraId="78FDBBBA" w14:textId="77777777" w:rsidR="00761594" w:rsidRDefault="00000000">
      <w:pPr>
        <w:rPr>
          <w:rFonts w:ascii="Calibri" w:eastAsia="Calibri" w:hAnsi="Calibri" w:cs="Calibri"/>
        </w:rPr>
      </w:pPr>
      <w:r>
        <w:rPr>
          <w:rFonts w:ascii="Calibri" w:eastAsia="Calibri" w:hAnsi="Calibri" w:cs="Calibri"/>
          <w:noProof/>
        </w:rPr>
        <w:lastRenderedPageBreak/>
        <w:drawing>
          <wp:inline distT="114300" distB="114300" distL="114300" distR="114300" wp14:anchorId="5AC967BA" wp14:editId="7B9D43F3">
            <wp:extent cx="3660525" cy="291328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5"/>
                    <a:srcRect/>
                    <a:stretch>
                      <a:fillRect/>
                    </a:stretch>
                  </pic:blipFill>
                  <pic:spPr>
                    <a:xfrm>
                      <a:off x="0" y="0"/>
                      <a:ext cx="3660525" cy="2913286"/>
                    </a:xfrm>
                    <a:prstGeom prst="rect">
                      <a:avLst/>
                    </a:prstGeom>
                    <a:ln/>
                  </pic:spPr>
                </pic:pic>
              </a:graphicData>
            </a:graphic>
          </wp:inline>
        </w:drawing>
      </w:r>
    </w:p>
    <w:p w14:paraId="3917D3F2" w14:textId="77777777" w:rsidR="00761594" w:rsidRDefault="00000000">
      <w:pPr>
        <w:rPr>
          <w:rFonts w:ascii="Calibri" w:eastAsia="Calibri" w:hAnsi="Calibri" w:cs="Calibri"/>
        </w:rPr>
      </w:pPr>
      <w:r>
        <w:rPr>
          <w:rFonts w:ascii="Calibri" w:eastAsia="Calibri" w:hAnsi="Calibri" w:cs="Calibri"/>
          <w:b/>
        </w:rPr>
        <w:t>Figure 2.</w:t>
      </w:r>
      <w:r>
        <w:rPr>
          <w:rFonts w:ascii="Calibri" w:eastAsia="Calibri" w:hAnsi="Calibri" w:cs="Calibri"/>
        </w:rPr>
        <w:t xml:space="preserve"> Change in model estimated coefficient (LMM) of sample t1 neopterin concentrations on subsequent short-term growth (sample t2-t1 ELBM) as the interval of t1-t2 increases. Bar rug represents frequency of intervals of a given length. The negative effect of neopterin on subsequent growth fades as the sample interval becomes longer. </w:t>
      </w:r>
    </w:p>
    <w:p w14:paraId="622AAAAD" w14:textId="77777777" w:rsidR="00761594" w:rsidRDefault="00761594">
      <w:pPr>
        <w:rPr>
          <w:rFonts w:ascii="Calibri" w:eastAsia="Calibri" w:hAnsi="Calibri" w:cs="Calibri"/>
        </w:rPr>
      </w:pPr>
    </w:p>
    <w:p w14:paraId="19E29ECB" w14:textId="77777777" w:rsidR="00761594" w:rsidRDefault="00761594">
      <w:pPr>
        <w:rPr>
          <w:rFonts w:ascii="Calibri" w:eastAsia="Calibri" w:hAnsi="Calibri" w:cs="Calibri"/>
          <w:b/>
        </w:rPr>
      </w:pPr>
    </w:p>
    <w:p w14:paraId="25F29376" w14:textId="77777777" w:rsidR="00761594" w:rsidRDefault="00000000">
      <w:pPr>
        <w:rPr>
          <w:rFonts w:ascii="Calibri" w:eastAsia="Calibri" w:hAnsi="Calibri" w:cs="Calibri"/>
        </w:rPr>
      </w:pPr>
      <w:r>
        <w:rPr>
          <w:rFonts w:ascii="Calibri" w:eastAsia="Calibri" w:hAnsi="Calibri" w:cs="Calibri"/>
        </w:rPr>
        <w:t>Table 3. Costs of immune activity: results from LMM.</w:t>
      </w:r>
    </w:p>
    <w:tbl>
      <w:tblPr>
        <w:tblStyle w:val="a1"/>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15"/>
        <w:gridCol w:w="1860"/>
        <w:gridCol w:w="1305"/>
        <w:gridCol w:w="1065"/>
        <w:gridCol w:w="1590"/>
        <w:gridCol w:w="1500"/>
      </w:tblGrid>
      <w:tr w:rsidR="00761594" w14:paraId="2F5A735D" w14:textId="77777777">
        <w:trPr>
          <w:trHeight w:val="255"/>
        </w:trPr>
        <w:tc>
          <w:tcPr>
            <w:tcW w:w="1815" w:type="dxa"/>
            <w:tcBorders>
              <w:top w:val="single" w:sz="6" w:space="0" w:color="000000"/>
              <w:left w:val="nil"/>
              <w:bottom w:val="single" w:sz="6" w:space="0" w:color="000000"/>
              <w:right w:val="nil"/>
            </w:tcBorders>
            <w:tcMar>
              <w:top w:w="0" w:type="dxa"/>
              <w:left w:w="100" w:type="dxa"/>
              <w:bottom w:w="0" w:type="dxa"/>
              <w:right w:w="100" w:type="dxa"/>
            </w:tcMar>
          </w:tcPr>
          <w:p w14:paraId="660FD4CE" w14:textId="77777777" w:rsidR="00761594" w:rsidRDefault="00000000">
            <w:pPr>
              <w:rPr>
                <w:rFonts w:ascii="Calibri" w:eastAsia="Calibri" w:hAnsi="Calibri" w:cs="Calibri"/>
                <w:b/>
                <w:sz w:val="20"/>
                <w:szCs w:val="20"/>
              </w:rPr>
            </w:pPr>
            <w:r>
              <w:rPr>
                <w:rFonts w:ascii="Calibri" w:eastAsia="Calibri" w:hAnsi="Calibri" w:cs="Calibri"/>
                <w:b/>
                <w:sz w:val="20"/>
                <w:szCs w:val="20"/>
              </w:rPr>
              <w:t>Response</w:t>
            </w:r>
          </w:p>
        </w:tc>
        <w:tc>
          <w:tcPr>
            <w:tcW w:w="1860" w:type="dxa"/>
            <w:tcBorders>
              <w:top w:val="single" w:sz="6" w:space="0" w:color="000000"/>
              <w:left w:val="nil"/>
              <w:bottom w:val="single" w:sz="6" w:space="0" w:color="000000"/>
              <w:right w:val="nil"/>
            </w:tcBorders>
            <w:tcMar>
              <w:top w:w="0" w:type="dxa"/>
              <w:left w:w="100" w:type="dxa"/>
              <w:bottom w:w="0" w:type="dxa"/>
              <w:right w:w="100" w:type="dxa"/>
            </w:tcMar>
          </w:tcPr>
          <w:p w14:paraId="0863D2DC" w14:textId="77777777" w:rsidR="00761594" w:rsidRDefault="00000000">
            <w:pPr>
              <w:rPr>
                <w:rFonts w:ascii="Calibri" w:eastAsia="Calibri" w:hAnsi="Calibri" w:cs="Calibri"/>
                <w:b/>
                <w:sz w:val="20"/>
                <w:szCs w:val="20"/>
              </w:rPr>
            </w:pPr>
            <w:r>
              <w:rPr>
                <w:rFonts w:ascii="Calibri" w:eastAsia="Calibri" w:hAnsi="Calibri" w:cs="Calibri"/>
                <w:b/>
                <w:sz w:val="20"/>
                <w:szCs w:val="20"/>
              </w:rPr>
              <w:t>Predictor</w:t>
            </w:r>
          </w:p>
        </w:tc>
        <w:tc>
          <w:tcPr>
            <w:tcW w:w="1305" w:type="dxa"/>
            <w:tcBorders>
              <w:top w:val="single" w:sz="6" w:space="0" w:color="000000"/>
              <w:left w:val="nil"/>
              <w:bottom w:val="single" w:sz="6" w:space="0" w:color="000000"/>
              <w:right w:val="nil"/>
            </w:tcBorders>
            <w:tcMar>
              <w:top w:w="0" w:type="dxa"/>
              <w:left w:w="100" w:type="dxa"/>
              <w:bottom w:w="0" w:type="dxa"/>
              <w:right w:w="100" w:type="dxa"/>
            </w:tcMar>
          </w:tcPr>
          <w:p w14:paraId="789CE43C" w14:textId="77777777" w:rsidR="00761594" w:rsidRDefault="00000000">
            <w:pPr>
              <w:rPr>
                <w:rFonts w:ascii="Calibri" w:eastAsia="Calibri" w:hAnsi="Calibri" w:cs="Calibri"/>
                <w:b/>
                <w:sz w:val="20"/>
                <w:szCs w:val="20"/>
              </w:rPr>
            </w:pPr>
            <w:r>
              <w:rPr>
                <w:rFonts w:ascii="Calibri" w:eastAsia="Calibri" w:hAnsi="Calibri" w:cs="Calibri"/>
                <w:b/>
                <w:sz w:val="20"/>
                <w:szCs w:val="20"/>
              </w:rPr>
              <w:t>Estimate</w:t>
            </w:r>
          </w:p>
        </w:tc>
        <w:tc>
          <w:tcPr>
            <w:tcW w:w="1065" w:type="dxa"/>
            <w:tcBorders>
              <w:top w:val="single" w:sz="6" w:space="0" w:color="000000"/>
              <w:left w:val="nil"/>
              <w:bottom w:val="single" w:sz="6" w:space="0" w:color="000000"/>
              <w:right w:val="nil"/>
            </w:tcBorders>
            <w:tcMar>
              <w:top w:w="0" w:type="dxa"/>
              <w:left w:w="100" w:type="dxa"/>
              <w:bottom w:w="0" w:type="dxa"/>
              <w:right w:w="100" w:type="dxa"/>
            </w:tcMar>
          </w:tcPr>
          <w:p w14:paraId="35ECD958" w14:textId="77777777" w:rsidR="00761594" w:rsidRDefault="00000000">
            <w:pPr>
              <w:rPr>
                <w:rFonts w:ascii="Calibri" w:eastAsia="Calibri" w:hAnsi="Calibri" w:cs="Calibri"/>
                <w:b/>
                <w:sz w:val="20"/>
                <w:szCs w:val="20"/>
              </w:rPr>
            </w:pPr>
            <w:r>
              <w:rPr>
                <w:rFonts w:ascii="Calibri" w:eastAsia="Calibri" w:hAnsi="Calibri" w:cs="Calibri"/>
                <w:b/>
                <w:sz w:val="20"/>
                <w:szCs w:val="20"/>
              </w:rPr>
              <w:t>SE</w:t>
            </w:r>
          </w:p>
        </w:tc>
        <w:tc>
          <w:tcPr>
            <w:tcW w:w="1590" w:type="dxa"/>
            <w:tcBorders>
              <w:top w:val="single" w:sz="6" w:space="0" w:color="000000"/>
              <w:left w:val="nil"/>
              <w:bottom w:val="single" w:sz="6" w:space="0" w:color="000000"/>
              <w:right w:val="nil"/>
            </w:tcBorders>
            <w:tcMar>
              <w:top w:w="0" w:type="dxa"/>
              <w:left w:w="100" w:type="dxa"/>
              <w:bottom w:w="0" w:type="dxa"/>
              <w:right w:w="100" w:type="dxa"/>
            </w:tcMar>
          </w:tcPr>
          <w:p w14:paraId="5A5ACF12" w14:textId="77777777" w:rsidR="00761594" w:rsidRDefault="00000000">
            <w:pPr>
              <w:rPr>
                <w:rFonts w:ascii="Calibri" w:eastAsia="Calibri" w:hAnsi="Calibri" w:cs="Calibri"/>
                <w:b/>
                <w:sz w:val="20"/>
                <w:szCs w:val="20"/>
              </w:rPr>
            </w:pPr>
            <w:r>
              <w:rPr>
                <w:rFonts w:ascii="Calibri" w:eastAsia="Calibri" w:hAnsi="Calibri" w:cs="Calibri"/>
                <w:b/>
                <w:sz w:val="20"/>
                <w:szCs w:val="20"/>
              </w:rPr>
              <w:t>CI</w:t>
            </w:r>
          </w:p>
        </w:tc>
        <w:tc>
          <w:tcPr>
            <w:tcW w:w="1500" w:type="dxa"/>
            <w:tcBorders>
              <w:top w:val="single" w:sz="6" w:space="0" w:color="000000"/>
              <w:left w:val="nil"/>
              <w:bottom w:val="single" w:sz="6" w:space="0" w:color="000000"/>
              <w:right w:val="nil"/>
            </w:tcBorders>
            <w:tcMar>
              <w:top w:w="0" w:type="dxa"/>
              <w:left w:w="100" w:type="dxa"/>
              <w:bottom w:w="0" w:type="dxa"/>
              <w:right w:w="100" w:type="dxa"/>
            </w:tcMar>
          </w:tcPr>
          <w:p w14:paraId="68C6D807" w14:textId="77777777" w:rsidR="00761594" w:rsidRDefault="00000000">
            <w:pPr>
              <w:rPr>
                <w:rFonts w:ascii="Calibri" w:eastAsia="Calibri" w:hAnsi="Calibri" w:cs="Calibri"/>
                <w:b/>
                <w:sz w:val="20"/>
                <w:szCs w:val="20"/>
              </w:rPr>
            </w:pPr>
            <w:r>
              <w:rPr>
                <w:rFonts w:ascii="Calibri" w:eastAsia="Calibri" w:hAnsi="Calibri" w:cs="Calibri"/>
                <w:b/>
                <w:sz w:val="20"/>
                <w:szCs w:val="20"/>
              </w:rPr>
              <w:t>p_value</w:t>
            </w:r>
          </w:p>
        </w:tc>
      </w:tr>
      <w:tr w:rsidR="00761594" w14:paraId="1B9F4BEB" w14:textId="77777777">
        <w:trPr>
          <w:trHeight w:val="240"/>
        </w:trPr>
        <w:tc>
          <w:tcPr>
            <w:tcW w:w="1815" w:type="dxa"/>
            <w:tcBorders>
              <w:top w:val="nil"/>
              <w:left w:val="nil"/>
              <w:bottom w:val="nil"/>
              <w:right w:val="nil"/>
            </w:tcBorders>
            <w:tcMar>
              <w:top w:w="0" w:type="dxa"/>
              <w:left w:w="100" w:type="dxa"/>
              <w:bottom w:w="0" w:type="dxa"/>
              <w:right w:w="100" w:type="dxa"/>
            </w:tcMar>
          </w:tcPr>
          <w:p w14:paraId="3C088310" w14:textId="77777777" w:rsidR="00761594" w:rsidRDefault="00000000">
            <w:pPr>
              <w:rPr>
                <w:rFonts w:ascii="Calibri" w:eastAsia="Calibri" w:hAnsi="Calibri" w:cs="Calibri"/>
                <w:sz w:val="20"/>
                <w:szCs w:val="20"/>
                <w:vertAlign w:val="subscript"/>
              </w:rPr>
            </w:pPr>
            <w:r>
              <w:rPr>
                <w:rFonts w:ascii="Calibri" w:eastAsia="Calibri" w:hAnsi="Calibri" w:cs="Calibri"/>
                <w:sz w:val="20"/>
                <w:szCs w:val="20"/>
              </w:rPr>
              <w:t>Avg. C-peptide</w:t>
            </w:r>
          </w:p>
        </w:tc>
        <w:tc>
          <w:tcPr>
            <w:tcW w:w="1860" w:type="dxa"/>
            <w:tcBorders>
              <w:top w:val="nil"/>
              <w:left w:val="nil"/>
              <w:bottom w:val="nil"/>
              <w:right w:val="nil"/>
            </w:tcBorders>
            <w:tcMar>
              <w:top w:w="0" w:type="dxa"/>
              <w:left w:w="100" w:type="dxa"/>
              <w:bottom w:w="0" w:type="dxa"/>
              <w:right w:w="100" w:type="dxa"/>
            </w:tcMar>
          </w:tcPr>
          <w:p w14:paraId="2D98D335" w14:textId="77777777" w:rsidR="00761594" w:rsidRDefault="00000000">
            <w:pPr>
              <w:rPr>
                <w:rFonts w:ascii="Calibri" w:eastAsia="Calibri" w:hAnsi="Calibri" w:cs="Calibri"/>
                <w:sz w:val="20"/>
                <w:szCs w:val="20"/>
              </w:rPr>
            </w:pPr>
            <w:r>
              <w:rPr>
                <w:rFonts w:ascii="Calibri" w:eastAsia="Calibri" w:hAnsi="Calibri" w:cs="Calibr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5AEB5C4A" w14:textId="77777777" w:rsidR="00761594" w:rsidRDefault="00000000">
            <w:pPr>
              <w:rPr>
                <w:rFonts w:ascii="Calibri" w:eastAsia="Calibri" w:hAnsi="Calibri" w:cs="Calibri"/>
                <w:sz w:val="20"/>
                <w:szCs w:val="20"/>
              </w:rPr>
            </w:pPr>
            <w:r>
              <w:rPr>
                <w:rFonts w:ascii="Calibri" w:eastAsia="Calibri" w:hAnsi="Calibri" w:cs="Calibri"/>
                <w:sz w:val="20"/>
                <w:szCs w:val="20"/>
              </w:rPr>
              <w:t>9.532</w:t>
            </w:r>
          </w:p>
        </w:tc>
        <w:tc>
          <w:tcPr>
            <w:tcW w:w="1065" w:type="dxa"/>
            <w:tcBorders>
              <w:top w:val="nil"/>
              <w:left w:val="nil"/>
              <w:bottom w:val="nil"/>
              <w:right w:val="nil"/>
            </w:tcBorders>
            <w:tcMar>
              <w:top w:w="0" w:type="dxa"/>
              <w:left w:w="100" w:type="dxa"/>
              <w:bottom w:w="0" w:type="dxa"/>
              <w:right w:w="100" w:type="dxa"/>
            </w:tcMar>
          </w:tcPr>
          <w:p w14:paraId="12405A07" w14:textId="77777777" w:rsidR="00761594" w:rsidRDefault="00000000">
            <w:pPr>
              <w:rPr>
                <w:rFonts w:ascii="Calibri" w:eastAsia="Calibri" w:hAnsi="Calibri" w:cs="Calibri"/>
                <w:sz w:val="20"/>
                <w:szCs w:val="20"/>
              </w:rPr>
            </w:pPr>
            <w:r>
              <w:rPr>
                <w:rFonts w:ascii="Calibri" w:eastAsia="Calibri" w:hAnsi="Calibri" w:cs="Calibri"/>
                <w:sz w:val="20"/>
                <w:szCs w:val="20"/>
              </w:rPr>
              <w:t>0.708</w:t>
            </w:r>
          </w:p>
        </w:tc>
        <w:tc>
          <w:tcPr>
            <w:tcW w:w="1590" w:type="dxa"/>
            <w:tcBorders>
              <w:top w:val="nil"/>
              <w:left w:val="nil"/>
              <w:bottom w:val="nil"/>
              <w:right w:val="nil"/>
            </w:tcBorders>
            <w:tcMar>
              <w:top w:w="0" w:type="dxa"/>
              <w:left w:w="100" w:type="dxa"/>
              <w:bottom w:w="0" w:type="dxa"/>
              <w:right w:w="100" w:type="dxa"/>
            </w:tcMar>
          </w:tcPr>
          <w:p w14:paraId="49CA7B89" w14:textId="77777777" w:rsidR="00761594" w:rsidRDefault="00000000">
            <w:pPr>
              <w:rPr>
                <w:rFonts w:ascii="Calibri" w:eastAsia="Calibri" w:hAnsi="Calibri" w:cs="Calibri"/>
                <w:sz w:val="20"/>
                <w:szCs w:val="20"/>
              </w:rPr>
            </w:pPr>
            <w:r>
              <w:rPr>
                <w:rFonts w:ascii="Calibri" w:eastAsia="Calibri" w:hAnsi="Calibri" w:cs="Calibri"/>
                <w:sz w:val="20"/>
                <w:szCs w:val="20"/>
              </w:rPr>
              <w:t>[8.14,10.92]</w:t>
            </w:r>
          </w:p>
        </w:tc>
        <w:tc>
          <w:tcPr>
            <w:tcW w:w="1500" w:type="dxa"/>
            <w:tcBorders>
              <w:top w:val="nil"/>
              <w:left w:val="nil"/>
              <w:bottom w:val="nil"/>
              <w:right w:val="nil"/>
            </w:tcBorders>
            <w:tcMar>
              <w:top w:w="0" w:type="dxa"/>
              <w:left w:w="100" w:type="dxa"/>
              <w:bottom w:w="0" w:type="dxa"/>
              <w:right w:w="100" w:type="dxa"/>
            </w:tcMar>
          </w:tcPr>
          <w:p w14:paraId="77F20B10" w14:textId="77777777" w:rsidR="00761594" w:rsidRDefault="00000000">
            <w:pPr>
              <w:rPr>
                <w:rFonts w:ascii="Calibri" w:eastAsia="Calibri" w:hAnsi="Calibri" w:cs="Calibri"/>
                <w:sz w:val="20"/>
                <w:szCs w:val="20"/>
              </w:rPr>
            </w:pPr>
            <w:r>
              <w:rPr>
                <w:rFonts w:ascii="Calibri" w:eastAsia="Calibri" w:hAnsi="Calibri" w:cs="Calibri"/>
                <w:sz w:val="20"/>
                <w:szCs w:val="20"/>
              </w:rPr>
              <w:t>&lt;0.001</w:t>
            </w:r>
          </w:p>
        </w:tc>
      </w:tr>
      <w:tr w:rsidR="00761594" w14:paraId="3AAC697F" w14:textId="77777777">
        <w:trPr>
          <w:trHeight w:val="240"/>
        </w:trPr>
        <w:tc>
          <w:tcPr>
            <w:tcW w:w="1815" w:type="dxa"/>
            <w:tcBorders>
              <w:top w:val="nil"/>
              <w:left w:val="nil"/>
              <w:bottom w:val="nil"/>
              <w:right w:val="nil"/>
            </w:tcBorders>
            <w:tcMar>
              <w:top w:w="0" w:type="dxa"/>
              <w:left w:w="100" w:type="dxa"/>
              <w:bottom w:w="0" w:type="dxa"/>
              <w:right w:w="100" w:type="dxa"/>
            </w:tcMar>
          </w:tcPr>
          <w:p w14:paraId="49302773"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n = 293</w:t>
            </w:r>
          </w:p>
        </w:tc>
        <w:tc>
          <w:tcPr>
            <w:tcW w:w="1860" w:type="dxa"/>
            <w:tcBorders>
              <w:top w:val="nil"/>
              <w:left w:val="nil"/>
              <w:bottom w:val="nil"/>
              <w:right w:val="nil"/>
            </w:tcBorders>
            <w:tcMar>
              <w:top w:w="0" w:type="dxa"/>
              <w:left w:w="100" w:type="dxa"/>
              <w:bottom w:w="0" w:type="dxa"/>
              <w:right w:w="100" w:type="dxa"/>
            </w:tcMar>
          </w:tcPr>
          <w:p w14:paraId="57663FA4" w14:textId="77777777" w:rsidR="00761594" w:rsidRDefault="00000000">
            <w:pPr>
              <w:rPr>
                <w:rFonts w:ascii="Calibri" w:eastAsia="Calibri" w:hAnsi="Calibri" w:cs="Calibri"/>
                <w:sz w:val="20"/>
                <w:szCs w:val="20"/>
              </w:rPr>
            </w:pPr>
            <w:r>
              <w:rPr>
                <w:rFonts w:ascii="Calibri" w:eastAsia="Calibri" w:hAnsi="Calibri" w:cs="Calibri"/>
                <w:sz w:val="20"/>
                <w:szCs w:val="20"/>
              </w:rPr>
              <w:t>Sex</w:t>
            </w:r>
          </w:p>
        </w:tc>
        <w:tc>
          <w:tcPr>
            <w:tcW w:w="1305" w:type="dxa"/>
            <w:tcBorders>
              <w:top w:val="nil"/>
              <w:left w:val="nil"/>
              <w:bottom w:val="nil"/>
              <w:right w:val="nil"/>
            </w:tcBorders>
            <w:tcMar>
              <w:top w:w="0" w:type="dxa"/>
              <w:left w:w="100" w:type="dxa"/>
              <w:bottom w:w="0" w:type="dxa"/>
              <w:right w:w="100" w:type="dxa"/>
            </w:tcMar>
          </w:tcPr>
          <w:p w14:paraId="08A460C1" w14:textId="77777777" w:rsidR="00761594" w:rsidRDefault="00000000">
            <w:pPr>
              <w:rPr>
                <w:rFonts w:ascii="Calibri" w:eastAsia="Calibri" w:hAnsi="Calibri" w:cs="Calibri"/>
                <w:sz w:val="20"/>
                <w:szCs w:val="20"/>
              </w:rPr>
            </w:pPr>
            <w:r>
              <w:rPr>
                <w:rFonts w:ascii="Calibri" w:eastAsia="Calibri" w:hAnsi="Calibri" w:cs="Calibri"/>
                <w:sz w:val="20"/>
                <w:szCs w:val="20"/>
              </w:rPr>
              <w:t>-0.302</w:t>
            </w:r>
          </w:p>
        </w:tc>
        <w:tc>
          <w:tcPr>
            <w:tcW w:w="1065" w:type="dxa"/>
            <w:tcBorders>
              <w:top w:val="nil"/>
              <w:left w:val="nil"/>
              <w:bottom w:val="nil"/>
              <w:right w:val="nil"/>
            </w:tcBorders>
            <w:tcMar>
              <w:top w:w="0" w:type="dxa"/>
              <w:left w:w="100" w:type="dxa"/>
              <w:bottom w:w="0" w:type="dxa"/>
              <w:right w:w="100" w:type="dxa"/>
            </w:tcMar>
          </w:tcPr>
          <w:p w14:paraId="25208E5A" w14:textId="77777777" w:rsidR="00761594" w:rsidRDefault="00000000">
            <w:pPr>
              <w:rPr>
                <w:rFonts w:ascii="Calibri" w:eastAsia="Calibri" w:hAnsi="Calibri" w:cs="Calibri"/>
                <w:sz w:val="20"/>
                <w:szCs w:val="20"/>
              </w:rPr>
            </w:pPr>
            <w:r>
              <w:rPr>
                <w:rFonts w:ascii="Calibri" w:eastAsia="Calibri" w:hAnsi="Calibri" w:cs="Calibri"/>
                <w:sz w:val="20"/>
                <w:szCs w:val="20"/>
              </w:rPr>
              <w:t>0.155</w:t>
            </w:r>
          </w:p>
        </w:tc>
        <w:tc>
          <w:tcPr>
            <w:tcW w:w="1590" w:type="dxa"/>
            <w:tcBorders>
              <w:top w:val="nil"/>
              <w:left w:val="nil"/>
              <w:bottom w:val="nil"/>
              <w:right w:val="nil"/>
            </w:tcBorders>
            <w:tcMar>
              <w:top w:w="0" w:type="dxa"/>
              <w:left w:w="100" w:type="dxa"/>
              <w:bottom w:w="0" w:type="dxa"/>
              <w:right w:w="100" w:type="dxa"/>
            </w:tcMar>
          </w:tcPr>
          <w:p w14:paraId="6D01DC0C" w14:textId="77777777" w:rsidR="00761594" w:rsidRDefault="00000000">
            <w:pPr>
              <w:rPr>
                <w:rFonts w:ascii="Calibri" w:eastAsia="Calibri" w:hAnsi="Calibri" w:cs="Calibri"/>
                <w:sz w:val="20"/>
                <w:szCs w:val="20"/>
              </w:rPr>
            </w:pPr>
            <w:r>
              <w:rPr>
                <w:rFonts w:ascii="Calibri" w:eastAsia="Calibri" w:hAnsi="Calibri" w:cs="Calibri"/>
                <w:sz w:val="20"/>
                <w:szCs w:val="20"/>
              </w:rPr>
              <w:t>[-0.61,0]</w:t>
            </w:r>
          </w:p>
        </w:tc>
        <w:tc>
          <w:tcPr>
            <w:tcW w:w="1500" w:type="dxa"/>
            <w:tcBorders>
              <w:top w:val="nil"/>
              <w:left w:val="nil"/>
              <w:bottom w:val="nil"/>
              <w:right w:val="nil"/>
            </w:tcBorders>
            <w:tcMar>
              <w:top w:w="0" w:type="dxa"/>
              <w:left w:w="100" w:type="dxa"/>
              <w:bottom w:w="0" w:type="dxa"/>
              <w:right w:w="100" w:type="dxa"/>
            </w:tcMar>
          </w:tcPr>
          <w:p w14:paraId="7B63B1E4" w14:textId="77777777" w:rsidR="00761594" w:rsidRDefault="00000000">
            <w:pPr>
              <w:rPr>
                <w:rFonts w:ascii="Calibri" w:eastAsia="Calibri" w:hAnsi="Calibri" w:cs="Calibri"/>
                <w:sz w:val="20"/>
                <w:szCs w:val="20"/>
              </w:rPr>
            </w:pPr>
            <w:r>
              <w:rPr>
                <w:rFonts w:ascii="Calibri" w:eastAsia="Calibri" w:hAnsi="Calibri" w:cs="Calibri"/>
                <w:sz w:val="20"/>
                <w:szCs w:val="20"/>
              </w:rPr>
              <w:t>0.059</w:t>
            </w:r>
          </w:p>
        </w:tc>
      </w:tr>
      <w:tr w:rsidR="00761594" w14:paraId="48543322" w14:textId="77777777">
        <w:trPr>
          <w:trHeight w:val="240"/>
        </w:trPr>
        <w:tc>
          <w:tcPr>
            <w:tcW w:w="1815" w:type="dxa"/>
            <w:tcBorders>
              <w:top w:val="nil"/>
              <w:left w:val="nil"/>
              <w:bottom w:val="nil"/>
              <w:right w:val="nil"/>
            </w:tcBorders>
            <w:tcMar>
              <w:top w:w="0" w:type="dxa"/>
              <w:left w:w="100" w:type="dxa"/>
              <w:bottom w:w="0" w:type="dxa"/>
              <w:right w:w="100" w:type="dxa"/>
            </w:tcMar>
          </w:tcPr>
          <w:p w14:paraId="0357F5BF"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607B543C" w14:textId="77777777" w:rsidR="00761594" w:rsidRDefault="00000000">
            <w:pPr>
              <w:rPr>
                <w:rFonts w:ascii="Calibri" w:eastAsia="Calibri" w:hAnsi="Calibri" w:cs="Calibri"/>
                <w:sz w:val="20"/>
                <w:szCs w:val="20"/>
              </w:rPr>
            </w:pPr>
            <w:r>
              <w:rPr>
                <w:rFonts w:ascii="Calibri" w:eastAsia="Calibri" w:hAnsi="Calibri" w:cs="Calibri"/>
                <w:sz w:val="20"/>
                <w:szCs w:val="20"/>
              </w:rPr>
              <w:t>Age</w:t>
            </w:r>
          </w:p>
        </w:tc>
        <w:tc>
          <w:tcPr>
            <w:tcW w:w="1305" w:type="dxa"/>
            <w:tcBorders>
              <w:top w:val="nil"/>
              <w:left w:val="nil"/>
              <w:bottom w:val="nil"/>
              <w:right w:val="nil"/>
            </w:tcBorders>
            <w:tcMar>
              <w:top w:w="0" w:type="dxa"/>
              <w:left w:w="100" w:type="dxa"/>
              <w:bottom w:w="0" w:type="dxa"/>
              <w:right w:w="100" w:type="dxa"/>
            </w:tcMar>
          </w:tcPr>
          <w:p w14:paraId="765B764F" w14:textId="77777777" w:rsidR="00761594" w:rsidRDefault="00000000">
            <w:pPr>
              <w:rPr>
                <w:rFonts w:ascii="Calibri" w:eastAsia="Calibri" w:hAnsi="Calibri" w:cs="Calibri"/>
                <w:sz w:val="20"/>
                <w:szCs w:val="20"/>
              </w:rPr>
            </w:pPr>
            <w:r>
              <w:rPr>
                <w:rFonts w:ascii="Calibri" w:eastAsia="Calibri" w:hAnsi="Calibri" w:cs="Calibri"/>
                <w:sz w:val="20"/>
                <w:szCs w:val="20"/>
              </w:rPr>
              <w:t>0.088</w:t>
            </w:r>
          </w:p>
        </w:tc>
        <w:tc>
          <w:tcPr>
            <w:tcW w:w="1065" w:type="dxa"/>
            <w:tcBorders>
              <w:top w:val="nil"/>
              <w:left w:val="nil"/>
              <w:bottom w:val="nil"/>
              <w:right w:val="nil"/>
            </w:tcBorders>
            <w:tcMar>
              <w:top w:w="0" w:type="dxa"/>
              <w:left w:w="100" w:type="dxa"/>
              <w:bottom w:w="0" w:type="dxa"/>
              <w:right w:w="100" w:type="dxa"/>
            </w:tcMar>
          </w:tcPr>
          <w:p w14:paraId="2DD69FD9" w14:textId="77777777" w:rsidR="00761594" w:rsidRDefault="00000000">
            <w:pPr>
              <w:rPr>
                <w:rFonts w:ascii="Calibri" w:eastAsia="Calibri" w:hAnsi="Calibri" w:cs="Calibri"/>
                <w:sz w:val="20"/>
                <w:szCs w:val="20"/>
              </w:rPr>
            </w:pPr>
            <w:r>
              <w:rPr>
                <w:rFonts w:ascii="Calibri" w:eastAsia="Calibri" w:hAnsi="Calibri" w:cs="Calibri"/>
                <w:sz w:val="20"/>
                <w:szCs w:val="20"/>
              </w:rPr>
              <w:t>0.047</w:t>
            </w:r>
          </w:p>
        </w:tc>
        <w:tc>
          <w:tcPr>
            <w:tcW w:w="1590" w:type="dxa"/>
            <w:tcBorders>
              <w:top w:val="nil"/>
              <w:left w:val="nil"/>
              <w:bottom w:val="nil"/>
              <w:right w:val="nil"/>
            </w:tcBorders>
            <w:tcMar>
              <w:top w:w="0" w:type="dxa"/>
              <w:left w:w="100" w:type="dxa"/>
              <w:bottom w:w="0" w:type="dxa"/>
              <w:right w:w="100" w:type="dxa"/>
            </w:tcMar>
          </w:tcPr>
          <w:p w14:paraId="1DBF17EF" w14:textId="77777777" w:rsidR="00761594" w:rsidRDefault="00000000">
            <w:pPr>
              <w:rPr>
                <w:rFonts w:ascii="Calibri" w:eastAsia="Calibri" w:hAnsi="Calibri" w:cs="Calibri"/>
                <w:sz w:val="20"/>
                <w:szCs w:val="20"/>
              </w:rPr>
            </w:pPr>
            <w:r>
              <w:rPr>
                <w:rFonts w:ascii="Calibri" w:eastAsia="Calibri" w:hAnsi="Calibri" w:cs="Calibri"/>
                <w:sz w:val="20"/>
                <w:szCs w:val="20"/>
              </w:rPr>
              <w:t>[0,0.18]</w:t>
            </w:r>
          </w:p>
        </w:tc>
        <w:tc>
          <w:tcPr>
            <w:tcW w:w="1500" w:type="dxa"/>
            <w:tcBorders>
              <w:top w:val="nil"/>
              <w:left w:val="nil"/>
              <w:bottom w:val="nil"/>
              <w:right w:val="nil"/>
            </w:tcBorders>
            <w:tcMar>
              <w:top w:w="0" w:type="dxa"/>
              <w:left w:w="100" w:type="dxa"/>
              <w:bottom w:w="0" w:type="dxa"/>
              <w:right w:w="100" w:type="dxa"/>
            </w:tcMar>
          </w:tcPr>
          <w:p w14:paraId="4705E5F8" w14:textId="77777777" w:rsidR="00761594" w:rsidRDefault="00000000">
            <w:pPr>
              <w:rPr>
                <w:rFonts w:ascii="Calibri" w:eastAsia="Calibri" w:hAnsi="Calibri" w:cs="Calibri"/>
                <w:sz w:val="20"/>
                <w:szCs w:val="20"/>
              </w:rPr>
            </w:pPr>
            <w:r>
              <w:rPr>
                <w:rFonts w:ascii="Calibri" w:eastAsia="Calibri" w:hAnsi="Calibri" w:cs="Calibri"/>
                <w:sz w:val="20"/>
                <w:szCs w:val="20"/>
              </w:rPr>
              <w:t>0.07</w:t>
            </w:r>
          </w:p>
        </w:tc>
      </w:tr>
      <w:tr w:rsidR="00761594" w14:paraId="7A360FDB" w14:textId="77777777">
        <w:trPr>
          <w:trHeight w:val="240"/>
        </w:trPr>
        <w:tc>
          <w:tcPr>
            <w:tcW w:w="1815" w:type="dxa"/>
            <w:tcBorders>
              <w:top w:val="nil"/>
              <w:left w:val="nil"/>
              <w:bottom w:val="nil"/>
              <w:right w:val="nil"/>
            </w:tcBorders>
            <w:tcMar>
              <w:top w:w="0" w:type="dxa"/>
              <w:left w:w="100" w:type="dxa"/>
              <w:bottom w:w="0" w:type="dxa"/>
              <w:right w:w="100" w:type="dxa"/>
            </w:tcMar>
          </w:tcPr>
          <w:p w14:paraId="613A8999"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1DBDA227" w14:textId="77777777" w:rsidR="00761594" w:rsidRDefault="00000000">
            <w:pPr>
              <w:rPr>
                <w:rFonts w:ascii="Calibri" w:eastAsia="Calibri" w:hAnsi="Calibri" w:cs="Calibri"/>
                <w:sz w:val="20"/>
                <w:szCs w:val="20"/>
              </w:rPr>
            </w:pPr>
            <w:r>
              <w:rPr>
                <w:rFonts w:ascii="Calibri" w:eastAsia="Calibri" w:hAnsi="Calibri" w:cs="Calibri"/>
                <w:sz w:val="20"/>
                <w:szCs w:val="20"/>
              </w:rPr>
              <w:t>Maternal Rank</w:t>
            </w:r>
          </w:p>
        </w:tc>
        <w:tc>
          <w:tcPr>
            <w:tcW w:w="1305" w:type="dxa"/>
            <w:tcBorders>
              <w:top w:val="nil"/>
              <w:left w:val="nil"/>
              <w:bottom w:val="nil"/>
              <w:right w:val="nil"/>
            </w:tcBorders>
            <w:tcMar>
              <w:top w:w="0" w:type="dxa"/>
              <w:left w:w="100" w:type="dxa"/>
              <w:bottom w:w="0" w:type="dxa"/>
              <w:right w:w="100" w:type="dxa"/>
            </w:tcMar>
          </w:tcPr>
          <w:p w14:paraId="0F027768" w14:textId="77777777" w:rsidR="00761594" w:rsidRDefault="00000000">
            <w:pPr>
              <w:rPr>
                <w:rFonts w:ascii="Calibri" w:eastAsia="Calibri" w:hAnsi="Calibri" w:cs="Calibri"/>
                <w:sz w:val="20"/>
                <w:szCs w:val="20"/>
              </w:rPr>
            </w:pPr>
            <w:r>
              <w:rPr>
                <w:rFonts w:ascii="Calibri" w:eastAsia="Calibri" w:hAnsi="Calibri" w:cs="Calibri"/>
                <w:sz w:val="20"/>
                <w:szCs w:val="20"/>
              </w:rPr>
              <w:t>-0.062</w:t>
            </w:r>
          </w:p>
        </w:tc>
        <w:tc>
          <w:tcPr>
            <w:tcW w:w="1065" w:type="dxa"/>
            <w:tcBorders>
              <w:top w:val="nil"/>
              <w:left w:val="nil"/>
              <w:bottom w:val="nil"/>
              <w:right w:val="nil"/>
            </w:tcBorders>
            <w:tcMar>
              <w:top w:w="0" w:type="dxa"/>
              <w:left w:w="100" w:type="dxa"/>
              <w:bottom w:w="0" w:type="dxa"/>
              <w:right w:w="100" w:type="dxa"/>
            </w:tcMar>
          </w:tcPr>
          <w:p w14:paraId="6CAB7DF6" w14:textId="77777777" w:rsidR="00761594" w:rsidRDefault="00000000">
            <w:pPr>
              <w:rPr>
                <w:rFonts w:ascii="Calibri" w:eastAsia="Calibri" w:hAnsi="Calibri" w:cs="Calibri"/>
                <w:sz w:val="20"/>
                <w:szCs w:val="20"/>
              </w:rPr>
            </w:pPr>
            <w:r>
              <w:rPr>
                <w:rFonts w:ascii="Calibri" w:eastAsia="Calibri" w:hAnsi="Calibri" w:cs="Calibri"/>
                <w:sz w:val="20"/>
                <w:szCs w:val="20"/>
              </w:rPr>
              <w:t>0.251</w:t>
            </w:r>
          </w:p>
        </w:tc>
        <w:tc>
          <w:tcPr>
            <w:tcW w:w="1590" w:type="dxa"/>
            <w:tcBorders>
              <w:top w:val="nil"/>
              <w:left w:val="nil"/>
              <w:bottom w:val="nil"/>
              <w:right w:val="nil"/>
            </w:tcBorders>
            <w:tcMar>
              <w:top w:w="0" w:type="dxa"/>
              <w:left w:w="100" w:type="dxa"/>
              <w:bottom w:w="0" w:type="dxa"/>
              <w:right w:w="100" w:type="dxa"/>
            </w:tcMar>
          </w:tcPr>
          <w:p w14:paraId="0A0C3484" w14:textId="77777777" w:rsidR="00761594" w:rsidRDefault="00000000">
            <w:pPr>
              <w:rPr>
                <w:rFonts w:ascii="Calibri" w:eastAsia="Calibri" w:hAnsi="Calibri" w:cs="Calibri"/>
                <w:sz w:val="20"/>
                <w:szCs w:val="20"/>
              </w:rPr>
            </w:pPr>
            <w:r>
              <w:rPr>
                <w:rFonts w:ascii="Calibri" w:eastAsia="Calibri" w:hAnsi="Calibri" w:cs="Calibri"/>
                <w:sz w:val="20"/>
                <w:szCs w:val="20"/>
              </w:rPr>
              <w:t>[-0.55,0.43]</w:t>
            </w:r>
          </w:p>
        </w:tc>
        <w:tc>
          <w:tcPr>
            <w:tcW w:w="1500" w:type="dxa"/>
            <w:tcBorders>
              <w:top w:val="nil"/>
              <w:left w:val="nil"/>
              <w:bottom w:val="nil"/>
              <w:right w:val="nil"/>
            </w:tcBorders>
            <w:tcMar>
              <w:top w:w="0" w:type="dxa"/>
              <w:left w:w="100" w:type="dxa"/>
              <w:bottom w:w="0" w:type="dxa"/>
              <w:right w:w="100" w:type="dxa"/>
            </w:tcMar>
          </w:tcPr>
          <w:p w14:paraId="11475FE2" w14:textId="77777777" w:rsidR="00761594" w:rsidRDefault="00000000">
            <w:pPr>
              <w:rPr>
                <w:rFonts w:ascii="Calibri" w:eastAsia="Calibri" w:hAnsi="Calibri" w:cs="Calibri"/>
                <w:sz w:val="20"/>
                <w:szCs w:val="20"/>
              </w:rPr>
            </w:pPr>
            <w:r>
              <w:rPr>
                <w:rFonts w:ascii="Calibri" w:eastAsia="Calibri" w:hAnsi="Calibri" w:cs="Calibri"/>
                <w:sz w:val="20"/>
                <w:szCs w:val="20"/>
              </w:rPr>
              <w:t>0.806</w:t>
            </w:r>
          </w:p>
        </w:tc>
      </w:tr>
      <w:tr w:rsidR="00761594" w14:paraId="5E443E5F" w14:textId="77777777">
        <w:trPr>
          <w:trHeight w:val="480"/>
        </w:trPr>
        <w:tc>
          <w:tcPr>
            <w:tcW w:w="1815" w:type="dxa"/>
            <w:tcBorders>
              <w:top w:val="nil"/>
              <w:left w:val="nil"/>
              <w:bottom w:val="single" w:sz="6" w:space="0" w:color="000000"/>
              <w:right w:val="nil"/>
            </w:tcBorders>
            <w:tcMar>
              <w:top w:w="0" w:type="dxa"/>
              <w:left w:w="100" w:type="dxa"/>
              <w:bottom w:w="0" w:type="dxa"/>
              <w:right w:w="100" w:type="dxa"/>
            </w:tcMar>
          </w:tcPr>
          <w:p w14:paraId="070B2B97"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5293EA0A" w14:textId="77777777" w:rsidR="00761594" w:rsidRDefault="00000000">
            <w:pPr>
              <w:rPr>
                <w:rFonts w:ascii="Calibri" w:eastAsia="Calibri" w:hAnsi="Calibri" w:cs="Calibri"/>
                <w:b/>
                <w:sz w:val="20"/>
                <w:szCs w:val="20"/>
              </w:rPr>
            </w:pPr>
            <w:r>
              <w:rPr>
                <w:rFonts w:ascii="Calibri" w:eastAsia="Calibri" w:hAnsi="Calibri" w:cs="Calibri"/>
                <w:b/>
                <w:sz w:val="20"/>
                <w:szCs w:val="20"/>
              </w:rPr>
              <w:t>log2 avg Neopterin</w:t>
            </w:r>
          </w:p>
        </w:tc>
        <w:tc>
          <w:tcPr>
            <w:tcW w:w="1305" w:type="dxa"/>
            <w:tcBorders>
              <w:top w:val="nil"/>
              <w:left w:val="nil"/>
              <w:bottom w:val="single" w:sz="6" w:space="0" w:color="000000"/>
              <w:right w:val="nil"/>
            </w:tcBorders>
            <w:tcMar>
              <w:top w:w="0" w:type="dxa"/>
              <w:left w:w="100" w:type="dxa"/>
              <w:bottom w:w="0" w:type="dxa"/>
              <w:right w:w="100" w:type="dxa"/>
            </w:tcMar>
          </w:tcPr>
          <w:p w14:paraId="0F866597" w14:textId="77777777" w:rsidR="00761594" w:rsidRDefault="00000000">
            <w:pPr>
              <w:rPr>
                <w:rFonts w:ascii="Calibri" w:eastAsia="Calibri" w:hAnsi="Calibri" w:cs="Calibri"/>
                <w:sz w:val="20"/>
                <w:szCs w:val="20"/>
              </w:rPr>
            </w:pPr>
            <w:r>
              <w:rPr>
                <w:rFonts w:ascii="Calibri" w:eastAsia="Calibri" w:hAnsi="Calibri" w:cs="Calibri"/>
                <w:sz w:val="20"/>
                <w:szCs w:val="20"/>
              </w:rPr>
              <w:t>0.328</w:t>
            </w:r>
          </w:p>
        </w:tc>
        <w:tc>
          <w:tcPr>
            <w:tcW w:w="1065" w:type="dxa"/>
            <w:tcBorders>
              <w:top w:val="nil"/>
              <w:left w:val="nil"/>
              <w:bottom w:val="single" w:sz="6" w:space="0" w:color="000000"/>
              <w:right w:val="nil"/>
            </w:tcBorders>
            <w:tcMar>
              <w:top w:w="0" w:type="dxa"/>
              <w:left w:w="100" w:type="dxa"/>
              <w:bottom w:w="0" w:type="dxa"/>
              <w:right w:w="100" w:type="dxa"/>
            </w:tcMar>
          </w:tcPr>
          <w:p w14:paraId="31F4112C" w14:textId="77777777" w:rsidR="00761594" w:rsidRDefault="00000000">
            <w:pPr>
              <w:rPr>
                <w:rFonts w:ascii="Calibri" w:eastAsia="Calibri" w:hAnsi="Calibri" w:cs="Calibri"/>
                <w:sz w:val="20"/>
                <w:szCs w:val="20"/>
              </w:rPr>
            </w:pPr>
            <w:r>
              <w:rPr>
                <w:rFonts w:ascii="Calibri" w:eastAsia="Calibri" w:hAnsi="Calibri" w:cs="Calibri"/>
                <w:sz w:val="20"/>
                <w:szCs w:val="20"/>
              </w:rPr>
              <w:t>0.075</w:t>
            </w:r>
          </w:p>
        </w:tc>
        <w:tc>
          <w:tcPr>
            <w:tcW w:w="1590" w:type="dxa"/>
            <w:tcBorders>
              <w:top w:val="nil"/>
              <w:left w:val="nil"/>
              <w:bottom w:val="single" w:sz="6" w:space="0" w:color="000000"/>
              <w:right w:val="nil"/>
            </w:tcBorders>
            <w:tcMar>
              <w:top w:w="0" w:type="dxa"/>
              <w:left w:w="100" w:type="dxa"/>
              <w:bottom w:w="0" w:type="dxa"/>
              <w:right w:w="100" w:type="dxa"/>
            </w:tcMar>
          </w:tcPr>
          <w:p w14:paraId="7B438B1D" w14:textId="77777777" w:rsidR="00761594" w:rsidRDefault="00000000">
            <w:pPr>
              <w:rPr>
                <w:rFonts w:ascii="Calibri" w:eastAsia="Calibri" w:hAnsi="Calibri" w:cs="Calibri"/>
                <w:sz w:val="20"/>
                <w:szCs w:val="20"/>
              </w:rPr>
            </w:pPr>
            <w:r>
              <w:rPr>
                <w:rFonts w:ascii="Calibri" w:eastAsia="Calibri" w:hAnsi="Calibri" w:cs="Calibri"/>
                <w:sz w:val="20"/>
                <w:szCs w:val="20"/>
              </w:rPr>
              <w:t>[0.18,0.48]</w:t>
            </w:r>
          </w:p>
        </w:tc>
        <w:tc>
          <w:tcPr>
            <w:tcW w:w="1500" w:type="dxa"/>
            <w:tcBorders>
              <w:top w:val="nil"/>
              <w:left w:val="nil"/>
              <w:bottom w:val="single" w:sz="6" w:space="0" w:color="000000"/>
              <w:right w:val="nil"/>
            </w:tcBorders>
            <w:tcMar>
              <w:top w:w="0" w:type="dxa"/>
              <w:left w:w="100" w:type="dxa"/>
              <w:bottom w:w="0" w:type="dxa"/>
              <w:right w:w="100" w:type="dxa"/>
            </w:tcMar>
          </w:tcPr>
          <w:p w14:paraId="693CD856" w14:textId="77777777" w:rsidR="00761594" w:rsidRDefault="00000000">
            <w:pPr>
              <w:rPr>
                <w:rFonts w:ascii="Calibri" w:eastAsia="Calibri" w:hAnsi="Calibri" w:cs="Calibri"/>
                <w:b/>
                <w:sz w:val="20"/>
                <w:szCs w:val="20"/>
              </w:rPr>
            </w:pPr>
            <w:r>
              <w:rPr>
                <w:rFonts w:ascii="Calibri" w:eastAsia="Calibri" w:hAnsi="Calibri" w:cs="Calibri"/>
                <w:b/>
                <w:sz w:val="20"/>
                <w:szCs w:val="20"/>
              </w:rPr>
              <w:t>&lt;0.001</w:t>
            </w:r>
          </w:p>
        </w:tc>
      </w:tr>
      <w:tr w:rsidR="00761594" w14:paraId="6BA29CF6" w14:textId="77777777">
        <w:trPr>
          <w:trHeight w:val="240"/>
        </w:trPr>
        <w:tc>
          <w:tcPr>
            <w:tcW w:w="1815" w:type="dxa"/>
            <w:tcBorders>
              <w:top w:val="nil"/>
              <w:left w:val="nil"/>
              <w:bottom w:val="nil"/>
              <w:right w:val="nil"/>
            </w:tcBorders>
            <w:tcMar>
              <w:top w:w="0" w:type="dxa"/>
              <w:left w:w="100" w:type="dxa"/>
              <w:bottom w:w="0" w:type="dxa"/>
              <w:right w:w="100" w:type="dxa"/>
            </w:tcMar>
          </w:tcPr>
          <w:p w14:paraId="7B19A843" w14:textId="77777777" w:rsidR="00761594" w:rsidRDefault="00000000">
            <w:pPr>
              <w:rPr>
                <w:rFonts w:ascii="Calibri" w:eastAsia="Calibri" w:hAnsi="Calibri" w:cs="Calibri"/>
                <w:sz w:val="20"/>
                <w:szCs w:val="20"/>
                <w:vertAlign w:val="subscript"/>
              </w:rPr>
            </w:pPr>
            <w:r>
              <w:rPr>
                <w:rFonts w:ascii="Calibri" w:eastAsia="Calibri" w:hAnsi="Calibri" w:cs="Calibri"/>
                <w:sz w:val="20"/>
                <w:szCs w:val="20"/>
              </w:rPr>
              <w:t>∆ ELBM</w:t>
            </w:r>
            <w:r>
              <w:rPr>
                <w:rFonts w:ascii="Calibri" w:eastAsia="Calibri" w:hAnsi="Calibri" w:cs="Calibri"/>
                <w:sz w:val="20"/>
                <w:szCs w:val="20"/>
                <w:vertAlign w:val="subscript"/>
              </w:rPr>
              <w:t>month1 - 0</w:t>
            </w:r>
          </w:p>
        </w:tc>
        <w:tc>
          <w:tcPr>
            <w:tcW w:w="1860" w:type="dxa"/>
            <w:tcBorders>
              <w:top w:val="nil"/>
              <w:left w:val="nil"/>
              <w:bottom w:val="nil"/>
              <w:right w:val="nil"/>
            </w:tcBorders>
            <w:tcMar>
              <w:top w:w="0" w:type="dxa"/>
              <w:left w:w="100" w:type="dxa"/>
              <w:bottom w:w="0" w:type="dxa"/>
              <w:right w:w="100" w:type="dxa"/>
            </w:tcMar>
          </w:tcPr>
          <w:p w14:paraId="225905CE" w14:textId="77777777" w:rsidR="00761594" w:rsidRDefault="00000000">
            <w:pPr>
              <w:rPr>
                <w:rFonts w:ascii="Calibri" w:eastAsia="Calibri" w:hAnsi="Calibri" w:cs="Calibri"/>
                <w:sz w:val="20"/>
                <w:szCs w:val="20"/>
              </w:rPr>
            </w:pPr>
            <w:r>
              <w:rPr>
                <w:rFonts w:ascii="Calibri" w:eastAsia="Calibri" w:hAnsi="Calibri" w:cs="Calibr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4C40863A" w14:textId="77777777" w:rsidR="00761594" w:rsidRDefault="00000000">
            <w:pPr>
              <w:rPr>
                <w:rFonts w:ascii="Calibri" w:eastAsia="Calibri" w:hAnsi="Calibri" w:cs="Calibri"/>
                <w:sz w:val="20"/>
                <w:szCs w:val="20"/>
              </w:rPr>
            </w:pPr>
            <w:r>
              <w:rPr>
                <w:rFonts w:ascii="Calibri" w:eastAsia="Calibri" w:hAnsi="Calibri" w:cs="Calibri"/>
                <w:sz w:val="20"/>
                <w:szCs w:val="20"/>
              </w:rPr>
              <w:t>0.617</w:t>
            </w:r>
          </w:p>
        </w:tc>
        <w:tc>
          <w:tcPr>
            <w:tcW w:w="1065" w:type="dxa"/>
            <w:tcBorders>
              <w:top w:val="nil"/>
              <w:left w:val="nil"/>
              <w:bottom w:val="nil"/>
              <w:right w:val="nil"/>
            </w:tcBorders>
            <w:tcMar>
              <w:top w:w="0" w:type="dxa"/>
              <w:left w:w="100" w:type="dxa"/>
              <w:bottom w:w="0" w:type="dxa"/>
              <w:right w:w="100" w:type="dxa"/>
            </w:tcMar>
          </w:tcPr>
          <w:p w14:paraId="626A4977" w14:textId="77777777" w:rsidR="00761594" w:rsidRDefault="00000000">
            <w:pPr>
              <w:rPr>
                <w:rFonts w:ascii="Calibri" w:eastAsia="Calibri" w:hAnsi="Calibri" w:cs="Calibri"/>
                <w:sz w:val="20"/>
                <w:szCs w:val="20"/>
              </w:rPr>
            </w:pPr>
            <w:r>
              <w:rPr>
                <w:rFonts w:ascii="Calibri" w:eastAsia="Calibri" w:hAnsi="Calibri" w:cs="Calibri"/>
                <w:sz w:val="20"/>
                <w:szCs w:val="20"/>
              </w:rPr>
              <w:t>0.237</w:t>
            </w:r>
          </w:p>
        </w:tc>
        <w:tc>
          <w:tcPr>
            <w:tcW w:w="1590" w:type="dxa"/>
            <w:tcBorders>
              <w:top w:val="nil"/>
              <w:left w:val="nil"/>
              <w:bottom w:val="nil"/>
              <w:right w:val="nil"/>
            </w:tcBorders>
            <w:tcMar>
              <w:top w:w="0" w:type="dxa"/>
              <w:left w:w="100" w:type="dxa"/>
              <w:bottom w:w="0" w:type="dxa"/>
              <w:right w:w="100" w:type="dxa"/>
            </w:tcMar>
          </w:tcPr>
          <w:p w14:paraId="229157BD" w14:textId="77777777" w:rsidR="00761594" w:rsidRDefault="00000000">
            <w:pPr>
              <w:rPr>
                <w:rFonts w:ascii="Calibri" w:eastAsia="Calibri" w:hAnsi="Calibri" w:cs="Calibri"/>
                <w:sz w:val="20"/>
                <w:szCs w:val="20"/>
              </w:rPr>
            </w:pPr>
            <w:r>
              <w:rPr>
                <w:rFonts w:ascii="Calibri" w:eastAsia="Calibri" w:hAnsi="Calibri" w:cs="Calibri"/>
                <w:sz w:val="20"/>
                <w:szCs w:val="20"/>
              </w:rPr>
              <w:t>[0.15,1.08]</w:t>
            </w:r>
          </w:p>
        </w:tc>
        <w:tc>
          <w:tcPr>
            <w:tcW w:w="1500" w:type="dxa"/>
            <w:tcBorders>
              <w:top w:val="nil"/>
              <w:left w:val="nil"/>
              <w:bottom w:val="nil"/>
              <w:right w:val="nil"/>
            </w:tcBorders>
            <w:tcMar>
              <w:top w:w="0" w:type="dxa"/>
              <w:left w:w="100" w:type="dxa"/>
              <w:bottom w:w="0" w:type="dxa"/>
              <w:right w:w="100" w:type="dxa"/>
            </w:tcMar>
          </w:tcPr>
          <w:p w14:paraId="3CDFAAA7" w14:textId="77777777" w:rsidR="00761594" w:rsidRDefault="00000000">
            <w:pPr>
              <w:rPr>
                <w:rFonts w:ascii="Calibri" w:eastAsia="Calibri" w:hAnsi="Calibri" w:cs="Calibri"/>
                <w:sz w:val="20"/>
                <w:szCs w:val="20"/>
              </w:rPr>
            </w:pPr>
            <w:r>
              <w:rPr>
                <w:rFonts w:ascii="Calibri" w:eastAsia="Calibri" w:hAnsi="Calibri" w:cs="Calibri"/>
                <w:sz w:val="20"/>
                <w:szCs w:val="20"/>
              </w:rPr>
              <w:t>0.01</w:t>
            </w:r>
          </w:p>
        </w:tc>
      </w:tr>
      <w:tr w:rsidR="00761594" w14:paraId="3EE5A3D6" w14:textId="77777777">
        <w:trPr>
          <w:trHeight w:val="240"/>
        </w:trPr>
        <w:tc>
          <w:tcPr>
            <w:tcW w:w="1815" w:type="dxa"/>
            <w:tcBorders>
              <w:top w:val="nil"/>
              <w:left w:val="nil"/>
              <w:bottom w:val="nil"/>
              <w:right w:val="nil"/>
            </w:tcBorders>
            <w:tcMar>
              <w:top w:w="0" w:type="dxa"/>
              <w:left w:w="100" w:type="dxa"/>
              <w:bottom w:w="0" w:type="dxa"/>
              <w:right w:w="100" w:type="dxa"/>
            </w:tcMar>
          </w:tcPr>
          <w:p w14:paraId="586C7078"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n = 252</w:t>
            </w:r>
          </w:p>
        </w:tc>
        <w:tc>
          <w:tcPr>
            <w:tcW w:w="1860" w:type="dxa"/>
            <w:tcBorders>
              <w:top w:val="nil"/>
              <w:left w:val="nil"/>
              <w:bottom w:val="nil"/>
              <w:right w:val="nil"/>
            </w:tcBorders>
            <w:tcMar>
              <w:top w:w="0" w:type="dxa"/>
              <w:left w:w="100" w:type="dxa"/>
              <w:bottom w:w="0" w:type="dxa"/>
              <w:right w:w="100" w:type="dxa"/>
            </w:tcMar>
          </w:tcPr>
          <w:p w14:paraId="53238309" w14:textId="77777777" w:rsidR="00761594" w:rsidRDefault="00000000">
            <w:pPr>
              <w:rPr>
                <w:rFonts w:ascii="Calibri" w:eastAsia="Calibri" w:hAnsi="Calibri" w:cs="Calibri"/>
                <w:sz w:val="20"/>
                <w:szCs w:val="20"/>
              </w:rPr>
            </w:pPr>
            <w:r>
              <w:rPr>
                <w:rFonts w:ascii="Calibri" w:eastAsia="Calibri" w:hAnsi="Calibri" w:cs="Calibri"/>
                <w:sz w:val="20"/>
                <w:szCs w:val="20"/>
              </w:rPr>
              <w:t>Age</w:t>
            </w:r>
          </w:p>
        </w:tc>
        <w:tc>
          <w:tcPr>
            <w:tcW w:w="1305" w:type="dxa"/>
            <w:tcBorders>
              <w:top w:val="nil"/>
              <w:left w:val="nil"/>
              <w:bottom w:val="nil"/>
              <w:right w:val="nil"/>
            </w:tcBorders>
            <w:tcMar>
              <w:top w:w="0" w:type="dxa"/>
              <w:left w:w="100" w:type="dxa"/>
              <w:bottom w:w="0" w:type="dxa"/>
              <w:right w:w="100" w:type="dxa"/>
            </w:tcMar>
          </w:tcPr>
          <w:p w14:paraId="1466C923" w14:textId="77777777" w:rsidR="00761594" w:rsidRDefault="00000000">
            <w:pPr>
              <w:rPr>
                <w:rFonts w:ascii="Calibri" w:eastAsia="Calibri" w:hAnsi="Calibri" w:cs="Calibri"/>
                <w:sz w:val="20"/>
                <w:szCs w:val="20"/>
              </w:rPr>
            </w:pPr>
            <w:r>
              <w:rPr>
                <w:rFonts w:ascii="Calibri" w:eastAsia="Calibri" w:hAnsi="Calibri" w:cs="Calibri"/>
                <w:sz w:val="20"/>
                <w:szCs w:val="20"/>
              </w:rPr>
              <w:t>0.008</w:t>
            </w:r>
          </w:p>
        </w:tc>
        <w:tc>
          <w:tcPr>
            <w:tcW w:w="1065" w:type="dxa"/>
            <w:tcBorders>
              <w:top w:val="nil"/>
              <w:left w:val="nil"/>
              <w:bottom w:val="nil"/>
              <w:right w:val="nil"/>
            </w:tcBorders>
            <w:tcMar>
              <w:top w:w="0" w:type="dxa"/>
              <w:left w:w="100" w:type="dxa"/>
              <w:bottom w:w="0" w:type="dxa"/>
              <w:right w:w="100" w:type="dxa"/>
            </w:tcMar>
          </w:tcPr>
          <w:p w14:paraId="463F0786" w14:textId="77777777" w:rsidR="00761594" w:rsidRDefault="00000000">
            <w:pPr>
              <w:rPr>
                <w:rFonts w:ascii="Calibri" w:eastAsia="Calibri" w:hAnsi="Calibri" w:cs="Calibri"/>
                <w:sz w:val="20"/>
                <w:szCs w:val="20"/>
              </w:rPr>
            </w:pPr>
            <w:r>
              <w:rPr>
                <w:rFonts w:ascii="Calibri" w:eastAsia="Calibri" w:hAnsi="Calibri" w:cs="Calibri"/>
                <w:sz w:val="20"/>
                <w:szCs w:val="20"/>
              </w:rPr>
              <w:t>0.009</w:t>
            </w:r>
          </w:p>
        </w:tc>
        <w:tc>
          <w:tcPr>
            <w:tcW w:w="1590" w:type="dxa"/>
            <w:tcBorders>
              <w:top w:val="nil"/>
              <w:left w:val="nil"/>
              <w:bottom w:val="nil"/>
              <w:right w:val="nil"/>
            </w:tcBorders>
            <w:tcMar>
              <w:top w:w="0" w:type="dxa"/>
              <w:left w:w="100" w:type="dxa"/>
              <w:bottom w:w="0" w:type="dxa"/>
              <w:right w:w="100" w:type="dxa"/>
            </w:tcMar>
          </w:tcPr>
          <w:p w14:paraId="7B108847" w14:textId="77777777" w:rsidR="00761594" w:rsidRDefault="00000000">
            <w:pPr>
              <w:rPr>
                <w:rFonts w:ascii="Calibri" w:eastAsia="Calibri" w:hAnsi="Calibri" w:cs="Calibri"/>
                <w:sz w:val="20"/>
                <w:szCs w:val="20"/>
              </w:rPr>
            </w:pPr>
            <w:r>
              <w:rPr>
                <w:rFonts w:ascii="Calibri" w:eastAsia="Calibri" w:hAnsi="Calibri" w:cs="Calibri"/>
                <w:sz w:val="20"/>
                <w:szCs w:val="20"/>
              </w:rPr>
              <w:t>[-0.01,0.03]</w:t>
            </w:r>
          </w:p>
        </w:tc>
        <w:tc>
          <w:tcPr>
            <w:tcW w:w="1500" w:type="dxa"/>
            <w:tcBorders>
              <w:top w:val="nil"/>
              <w:left w:val="nil"/>
              <w:bottom w:val="nil"/>
              <w:right w:val="nil"/>
            </w:tcBorders>
            <w:tcMar>
              <w:top w:w="0" w:type="dxa"/>
              <w:left w:w="100" w:type="dxa"/>
              <w:bottom w:w="0" w:type="dxa"/>
              <w:right w:w="100" w:type="dxa"/>
            </w:tcMar>
          </w:tcPr>
          <w:p w14:paraId="4448FB83" w14:textId="77777777" w:rsidR="00761594" w:rsidRDefault="00000000">
            <w:pPr>
              <w:rPr>
                <w:rFonts w:ascii="Calibri" w:eastAsia="Calibri" w:hAnsi="Calibri" w:cs="Calibri"/>
                <w:sz w:val="20"/>
                <w:szCs w:val="20"/>
              </w:rPr>
            </w:pPr>
            <w:r>
              <w:rPr>
                <w:rFonts w:ascii="Calibri" w:eastAsia="Calibri" w:hAnsi="Calibri" w:cs="Calibri"/>
                <w:sz w:val="20"/>
                <w:szCs w:val="20"/>
              </w:rPr>
              <w:t>0.372</w:t>
            </w:r>
          </w:p>
        </w:tc>
      </w:tr>
      <w:tr w:rsidR="00761594" w14:paraId="5844F2F5" w14:textId="77777777">
        <w:trPr>
          <w:trHeight w:val="240"/>
        </w:trPr>
        <w:tc>
          <w:tcPr>
            <w:tcW w:w="1815" w:type="dxa"/>
            <w:tcBorders>
              <w:top w:val="nil"/>
              <w:left w:val="nil"/>
              <w:bottom w:val="nil"/>
              <w:right w:val="nil"/>
            </w:tcBorders>
            <w:tcMar>
              <w:top w:w="0" w:type="dxa"/>
              <w:left w:w="100" w:type="dxa"/>
              <w:bottom w:w="0" w:type="dxa"/>
              <w:right w:w="100" w:type="dxa"/>
            </w:tcMar>
          </w:tcPr>
          <w:p w14:paraId="0ACB1B04"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CD82CDD" w14:textId="77777777" w:rsidR="00761594" w:rsidRDefault="00000000">
            <w:pPr>
              <w:rPr>
                <w:rFonts w:ascii="Calibri" w:eastAsia="Calibri" w:hAnsi="Calibri" w:cs="Calibri"/>
                <w:sz w:val="20"/>
                <w:szCs w:val="20"/>
              </w:rPr>
            </w:pPr>
            <w:r>
              <w:rPr>
                <w:rFonts w:ascii="Calibri" w:eastAsia="Calibri" w:hAnsi="Calibri" w:cs="Calibri"/>
                <w:sz w:val="20"/>
                <w:szCs w:val="20"/>
              </w:rPr>
              <w:t>Sex</w:t>
            </w:r>
          </w:p>
        </w:tc>
        <w:tc>
          <w:tcPr>
            <w:tcW w:w="1305" w:type="dxa"/>
            <w:tcBorders>
              <w:top w:val="nil"/>
              <w:left w:val="nil"/>
              <w:bottom w:val="nil"/>
              <w:right w:val="nil"/>
            </w:tcBorders>
            <w:tcMar>
              <w:top w:w="0" w:type="dxa"/>
              <w:left w:w="100" w:type="dxa"/>
              <w:bottom w:w="0" w:type="dxa"/>
              <w:right w:w="100" w:type="dxa"/>
            </w:tcMar>
          </w:tcPr>
          <w:p w14:paraId="7C3DEDE7" w14:textId="77777777" w:rsidR="00761594" w:rsidRDefault="00000000">
            <w:pPr>
              <w:rPr>
                <w:rFonts w:ascii="Calibri" w:eastAsia="Calibri" w:hAnsi="Calibri" w:cs="Calibri"/>
                <w:sz w:val="20"/>
                <w:szCs w:val="20"/>
              </w:rPr>
            </w:pPr>
            <w:r>
              <w:rPr>
                <w:rFonts w:ascii="Calibri" w:eastAsia="Calibri" w:hAnsi="Calibri" w:cs="Calibri"/>
                <w:sz w:val="20"/>
                <w:szCs w:val="20"/>
              </w:rPr>
              <w:t>-0.023</w:t>
            </w:r>
          </w:p>
        </w:tc>
        <w:tc>
          <w:tcPr>
            <w:tcW w:w="1065" w:type="dxa"/>
            <w:tcBorders>
              <w:top w:val="nil"/>
              <w:left w:val="nil"/>
              <w:bottom w:val="nil"/>
              <w:right w:val="nil"/>
            </w:tcBorders>
            <w:tcMar>
              <w:top w:w="0" w:type="dxa"/>
              <w:left w:w="100" w:type="dxa"/>
              <w:bottom w:w="0" w:type="dxa"/>
              <w:right w:w="100" w:type="dxa"/>
            </w:tcMar>
          </w:tcPr>
          <w:p w14:paraId="6EDCAC07" w14:textId="77777777" w:rsidR="00761594" w:rsidRDefault="00000000">
            <w:pPr>
              <w:rPr>
                <w:rFonts w:ascii="Calibri" w:eastAsia="Calibri" w:hAnsi="Calibri" w:cs="Calibri"/>
                <w:sz w:val="20"/>
                <w:szCs w:val="20"/>
              </w:rPr>
            </w:pPr>
            <w:r>
              <w:rPr>
                <w:rFonts w:ascii="Calibri" w:eastAsia="Calibri" w:hAnsi="Calibri" w:cs="Calibri"/>
                <w:sz w:val="20"/>
                <w:szCs w:val="20"/>
              </w:rPr>
              <w:t>0.031</w:t>
            </w:r>
          </w:p>
        </w:tc>
        <w:tc>
          <w:tcPr>
            <w:tcW w:w="1590" w:type="dxa"/>
            <w:tcBorders>
              <w:top w:val="nil"/>
              <w:left w:val="nil"/>
              <w:bottom w:val="nil"/>
              <w:right w:val="nil"/>
            </w:tcBorders>
            <w:tcMar>
              <w:top w:w="0" w:type="dxa"/>
              <w:left w:w="100" w:type="dxa"/>
              <w:bottom w:w="0" w:type="dxa"/>
              <w:right w:w="100" w:type="dxa"/>
            </w:tcMar>
          </w:tcPr>
          <w:p w14:paraId="22C08527" w14:textId="77777777" w:rsidR="00761594" w:rsidRDefault="00000000">
            <w:pPr>
              <w:rPr>
                <w:rFonts w:ascii="Calibri" w:eastAsia="Calibri" w:hAnsi="Calibri" w:cs="Calibri"/>
                <w:sz w:val="20"/>
                <w:szCs w:val="20"/>
              </w:rPr>
            </w:pPr>
            <w:r>
              <w:rPr>
                <w:rFonts w:ascii="Calibri" w:eastAsia="Calibri" w:hAnsi="Calibri" w:cs="Calibri"/>
                <w:sz w:val="20"/>
                <w:szCs w:val="20"/>
              </w:rPr>
              <w:t>[-0.08,0.04]</w:t>
            </w:r>
          </w:p>
        </w:tc>
        <w:tc>
          <w:tcPr>
            <w:tcW w:w="1500" w:type="dxa"/>
            <w:tcBorders>
              <w:top w:val="nil"/>
              <w:left w:val="nil"/>
              <w:bottom w:val="nil"/>
              <w:right w:val="nil"/>
            </w:tcBorders>
            <w:tcMar>
              <w:top w:w="0" w:type="dxa"/>
              <w:left w:w="100" w:type="dxa"/>
              <w:bottom w:w="0" w:type="dxa"/>
              <w:right w:w="100" w:type="dxa"/>
            </w:tcMar>
          </w:tcPr>
          <w:p w14:paraId="4EC0DF57" w14:textId="77777777" w:rsidR="00761594" w:rsidRDefault="00000000">
            <w:pPr>
              <w:rPr>
                <w:rFonts w:ascii="Calibri" w:eastAsia="Calibri" w:hAnsi="Calibri" w:cs="Calibri"/>
                <w:sz w:val="20"/>
                <w:szCs w:val="20"/>
              </w:rPr>
            </w:pPr>
            <w:r>
              <w:rPr>
                <w:rFonts w:ascii="Calibri" w:eastAsia="Calibri" w:hAnsi="Calibri" w:cs="Calibri"/>
                <w:sz w:val="20"/>
                <w:szCs w:val="20"/>
              </w:rPr>
              <w:t>0.444</w:t>
            </w:r>
          </w:p>
        </w:tc>
      </w:tr>
      <w:tr w:rsidR="00761594" w14:paraId="4CF0F0DC" w14:textId="77777777">
        <w:trPr>
          <w:trHeight w:val="240"/>
        </w:trPr>
        <w:tc>
          <w:tcPr>
            <w:tcW w:w="1815" w:type="dxa"/>
            <w:tcBorders>
              <w:top w:val="nil"/>
              <w:left w:val="nil"/>
              <w:bottom w:val="nil"/>
              <w:right w:val="nil"/>
            </w:tcBorders>
            <w:tcMar>
              <w:top w:w="0" w:type="dxa"/>
              <w:left w:w="100" w:type="dxa"/>
              <w:bottom w:w="0" w:type="dxa"/>
              <w:right w:w="100" w:type="dxa"/>
            </w:tcMar>
          </w:tcPr>
          <w:p w14:paraId="68297F7D"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1B0CBA20" w14:textId="77777777" w:rsidR="00761594" w:rsidRDefault="00000000">
            <w:pPr>
              <w:rPr>
                <w:rFonts w:ascii="Calibri" w:eastAsia="Calibri" w:hAnsi="Calibri" w:cs="Calibri"/>
                <w:sz w:val="20"/>
                <w:szCs w:val="20"/>
              </w:rPr>
            </w:pPr>
            <w:r>
              <w:rPr>
                <w:rFonts w:ascii="Calibri" w:eastAsia="Calibri" w:hAnsi="Calibri" w:cs="Calibri"/>
                <w:sz w:val="20"/>
                <w:szCs w:val="20"/>
              </w:rPr>
              <w:t>Maternal Rank</w:t>
            </w:r>
          </w:p>
        </w:tc>
        <w:tc>
          <w:tcPr>
            <w:tcW w:w="1305" w:type="dxa"/>
            <w:tcBorders>
              <w:top w:val="nil"/>
              <w:left w:val="nil"/>
              <w:bottom w:val="nil"/>
              <w:right w:val="nil"/>
            </w:tcBorders>
            <w:tcMar>
              <w:top w:w="0" w:type="dxa"/>
              <w:left w:w="100" w:type="dxa"/>
              <w:bottom w:w="0" w:type="dxa"/>
              <w:right w:w="100" w:type="dxa"/>
            </w:tcMar>
          </w:tcPr>
          <w:p w14:paraId="524D1DB0" w14:textId="77777777" w:rsidR="00761594" w:rsidRDefault="00000000">
            <w:pPr>
              <w:rPr>
                <w:rFonts w:ascii="Calibri" w:eastAsia="Calibri" w:hAnsi="Calibri" w:cs="Calibri"/>
                <w:sz w:val="20"/>
                <w:szCs w:val="20"/>
              </w:rPr>
            </w:pPr>
            <w:r>
              <w:rPr>
                <w:rFonts w:ascii="Calibri" w:eastAsia="Calibri" w:hAnsi="Calibri" w:cs="Calibri"/>
                <w:sz w:val="20"/>
                <w:szCs w:val="20"/>
              </w:rPr>
              <w:t>0.009</w:t>
            </w:r>
          </w:p>
        </w:tc>
        <w:tc>
          <w:tcPr>
            <w:tcW w:w="1065" w:type="dxa"/>
            <w:tcBorders>
              <w:top w:val="nil"/>
              <w:left w:val="nil"/>
              <w:bottom w:val="nil"/>
              <w:right w:val="nil"/>
            </w:tcBorders>
            <w:tcMar>
              <w:top w:w="0" w:type="dxa"/>
              <w:left w:w="100" w:type="dxa"/>
              <w:bottom w:w="0" w:type="dxa"/>
              <w:right w:w="100" w:type="dxa"/>
            </w:tcMar>
          </w:tcPr>
          <w:p w14:paraId="7378CE63" w14:textId="77777777" w:rsidR="00761594" w:rsidRDefault="00000000">
            <w:pPr>
              <w:rPr>
                <w:rFonts w:ascii="Calibri" w:eastAsia="Calibri" w:hAnsi="Calibri" w:cs="Calibri"/>
                <w:sz w:val="20"/>
                <w:szCs w:val="20"/>
              </w:rPr>
            </w:pPr>
            <w:r>
              <w:rPr>
                <w:rFonts w:ascii="Calibri" w:eastAsia="Calibri" w:hAnsi="Calibri" w:cs="Calibri"/>
                <w:sz w:val="20"/>
                <w:szCs w:val="20"/>
              </w:rPr>
              <w:t>0.049</w:t>
            </w:r>
          </w:p>
        </w:tc>
        <w:tc>
          <w:tcPr>
            <w:tcW w:w="1590" w:type="dxa"/>
            <w:tcBorders>
              <w:top w:val="nil"/>
              <w:left w:val="nil"/>
              <w:bottom w:val="nil"/>
              <w:right w:val="nil"/>
            </w:tcBorders>
            <w:tcMar>
              <w:top w:w="0" w:type="dxa"/>
              <w:left w:w="100" w:type="dxa"/>
              <w:bottom w:w="0" w:type="dxa"/>
              <w:right w:w="100" w:type="dxa"/>
            </w:tcMar>
          </w:tcPr>
          <w:p w14:paraId="7C92A9EA" w14:textId="77777777" w:rsidR="00761594" w:rsidRDefault="00000000">
            <w:pPr>
              <w:rPr>
                <w:rFonts w:ascii="Calibri" w:eastAsia="Calibri" w:hAnsi="Calibri" w:cs="Calibri"/>
                <w:sz w:val="20"/>
                <w:szCs w:val="20"/>
              </w:rPr>
            </w:pPr>
            <w:r>
              <w:rPr>
                <w:rFonts w:ascii="Calibri" w:eastAsia="Calibri" w:hAnsi="Calibri" w:cs="Calibri"/>
                <w:sz w:val="20"/>
                <w:szCs w:val="20"/>
              </w:rPr>
              <w:t>[-0.09,0.1]</w:t>
            </w:r>
          </w:p>
        </w:tc>
        <w:tc>
          <w:tcPr>
            <w:tcW w:w="1500" w:type="dxa"/>
            <w:tcBorders>
              <w:top w:val="nil"/>
              <w:left w:val="nil"/>
              <w:bottom w:val="nil"/>
              <w:right w:val="nil"/>
            </w:tcBorders>
            <w:tcMar>
              <w:top w:w="0" w:type="dxa"/>
              <w:left w:w="100" w:type="dxa"/>
              <w:bottom w:w="0" w:type="dxa"/>
              <w:right w:w="100" w:type="dxa"/>
            </w:tcMar>
          </w:tcPr>
          <w:p w14:paraId="218D8340" w14:textId="77777777" w:rsidR="00761594" w:rsidRDefault="00000000">
            <w:pPr>
              <w:rPr>
                <w:rFonts w:ascii="Calibri" w:eastAsia="Calibri" w:hAnsi="Calibri" w:cs="Calibri"/>
                <w:sz w:val="20"/>
                <w:szCs w:val="20"/>
              </w:rPr>
            </w:pPr>
            <w:r>
              <w:rPr>
                <w:rFonts w:ascii="Calibri" w:eastAsia="Calibri" w:hAnsi="Calibri" w:cs="Calibri"/>
                <w:sz w:val="20"/>
                <w:szCs w:val="20"/>
              </w:rPr>
              <w:t>0.846</w:t>
            </w:r>
          </w:p>
        </w:tc>
      </w:tr>
      <w:tr w:rsidR="00761594" w14:paraId="60B98A21" w14:textId="77777777">
        <w:trPr>
          <w:trHeight w:val="240"/>
        </w:trPr>
        <w:tc>
          <w:tcPr>
            <w:tcW w:w="1815" w:type="dxa"/>
            <w:tcBorders>
              <w:top w:val="nil"/>
              <w:left w:val="nil"/>
              <w:bottom w:val="nil"/>
              <w:right w:val="nil"/>
            </w:tcBorders>
            <w:tcMar>
              <w:top w:w="0" w:type="dxa"/>
              <w:left w:w="100" w:type="dxa"/>
              <w:bottom w:w="0" w:type="dxa"/>
              <w:right w:w="100" w:type="dxa"/>
            </w:tcMar>
          </w:tcPr>
          <w:p w14:paraId="5255141E"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4F1A7D4" w14:textId="77777777" w:rsidR="00761594" w:rsidRDefault="00000000">
            <w:pPr>
              <w:rPr>
                <w:rFonts w:ascii="Calibri" w:eastAsia="Calibri" w:hAnsi="Calibri" w:cs="Calibri"/>
                <w:sz w:val="20"/>
                <w:szCs w:val="20"/>
              </w:rPr>
            </w:pPr>
            <w:r>
              <w:rPr>
                <w:rFonts w:ascii="Calibri" w:eastAsia="Calibri" w:hAnsi="Calibri" w:cs="Calibri"/>
                <w:sz w:val="20"/>
                <w:szCs w:val="20"/>
              </w:rPr>
              <w:t>log2 avg. Neopterin</w:t>
            </w:r>
          </w:p>
        </w:tc>
        <w:tc>
          <w:tcPr>
            <w:tcW w:w="1305" w:type="dxa"/>
            <w:tcBorders>
              <w:top w:val="nil"/>
              <w:left w:val="nil"/>
              <w:bottom w:val="nil"/>
              <w:right w:val="nil"/>
            </w:tcBorders>
            <w:tcMar>
              <w:top w:w="0" w:type="dxa"/>
              <w:left w:w="100" w:type="dxa"/>
              <w:bottom w:w="0" w:type="dxa"/>
              <w:right w:w="100" w:type="dxa"/>
            </w:tcMar>
          </w:tcPr>
          <w:p w14:paraId="65C03D31" w14:textId="77777777" w:rsidR="00761594" w:rsidRDefault="00000000">
            <w:pPr>
              <w:rPr>
                <w:rFonts w:ascii="Calibri" w:eastAsia="Calibri" w:hAnsi="Calibri" w:cs="Calibri"/>
                <w:sz w:val="20"/>
                <w:szCs w:val="20"/>
              </w:rPr>
            </w:pPr>
            <w:r>
              <w:rPr>
                <w:rFonts w:ascii="Calibri" w:eastAsia="Calibri" w:hAnsi="Calibri" w:cs="Calibri"/>
                <w:sz w:val="20"/>
                <w:szCs w:val="20"/>
              </w:rPr>
              <w:t>-0.011</w:t>
            </w:r>
          </w:p>
        </w:tc>
        <w:tc>
          <w:tcPr>
            <w:tcW w:w="1065" w:type="dxa"/>
            <w:tcBorders>
              <w:top w:val="nil"/>
              <w:left w:val="nil"/>
              <w:bottom w:val="nil"/>
              <w:right w:val="nil"/>
            </w:tcBorders>
            <w:tcMar>
              <w:top w:w="0" w:type="dxa"/>
              <w:left w:w="100" w:type="dxa"/>
              <w:bottom w:w="0" w:type="dxa"/>
              <w:right w:w="100" w:type="dxa"/>
            </w:tcMar>
          </w:tcPr>
          <w:p w14:paraId="1AF85E17" w14:textId="77777777" w:rsidR="00761594" w:rsidRDefault="00000000">
            <w:pPr>
              <w:rPr>
                <w:rFonts w:ascii="Calibri" w:eastAsia="Calibri" w:hAnsi="Calibri" w:cs="Calibri"/>
                <w:sz w:val="20"/>
                <w:szCs w:val="20"/>
              </w:rPr>
            </w:pPr>
            <w:r>
              <w:rPr>
                <w:rFonts w:ascii="Calibri" w:eastAsia="Calibri" w:hAnsi="Calibri" w:cs="Calibri"/>
                <w:sz w:val="20"/>
                <w:szCs w:val="20"/>
              </w:rPr>
              <w:t>0.021</w:t>
            </w:r>
          </w:p>
        </w:tc>
        <w:tc>
          <w:tcPr>
            <w:tcW w:w="1590" w:type="dxa"/>
            <w:tcBorders>
              <w:top w:val="nil"/>
              <w:left w:val="nil"/>
              <w:bottom w:val="nil"/>
              <w:right w:val="nil"/>
            </w:tcBorders>
            <w:tcMar>
              <w:top w:w="0" w:type="dxa"/>
              <w:left w:w="100" w:type="dxa"/>
              <w:bottom w:w="0" w:type="dxa"/>
              <w:right w:w="100" w:type="dxa"/>
            </w:tcMar>
          </w:tcPr>
          <w:p w14:paraId="453E514D" w14:textId="77777777" w:rsidR="00761594" w:rsidRDefault="00000000">
            <w:pPr>
              <w:rPr>
                <w:rFonts w:ascii="Calibri" w:eastAsia="Calibri" w:hAnsi="Calibri" w:cs="Calibri"/>
                <w:sz w:val="20"/>
                <w:szCs w:val="20"/>
              </w:rPr>
            </w:pPr>
            <w:r>
              <w:rPr>
                <w:rFonts w:ascii="Calibri" w:eastAsia="Calibri" w:hAnsi="Calibri" w:cs="Calibri"/>
                <w:sz w:val="20"/>
                <w:szCs w:val="20"/>
              </w:rPr>
              <w:t>[-0.05,0.03]</w:t>
            </w:r>
          </w:p>
        </w:tc>
        <w:tc>
          <w:tcPr>
            <w:tcW w:w="1500" w:type="dxa"/>
            <w:tcBorders>
              <w:top w:val="nil"/>
              <w:left w:val="nil"/>
              <w:bottom w:val="nil"/>
              <w:right w:val="nil"/>
            </w:tcBorders>
            <w:tcMar>
              <w:top w:w="0" w:type="dxa"/>
              <w:left w:w="100" w:type="dxa"/>
              <w:bottom w:w="0" w:type="dxa"/>
              <w:right w:w="100" w:type="dxa"/>
            </w:tcMar>
          </w:tcPr>
          <w:p w14:paraId="02C1D29D" w14:textId="77777777" w:rsidR="00761594" w:rsidRDefault="00000000">
            <w:pPr>
              <w:rPr>
                <w:rFonts w:ascii="Calibri" w:eastAsia="Calibri" w:hAnsi="Calibri" w:cs="Calibri"/>
                <w:sz w:val="20"/>
                <w:szCs w:val="20"/>
              </w:rPr>
            </w:pPr>
            <w:r>
              <w:rPr>
                <w:rFonts w:ascii="Calibri" w:eastAsia="Calibri" w:hAnsi="Calibri" w:cs="Calibri"/>
                <w:sz w:val="20"/>
                <w:szCs w:val="20"/>
              </w:rPr>
              <w:t>0.587</w:t>
            </w:r>
          </w:p>
        </w:tc>
      </w:tr>
      <w:tr w:rsidR="00761594" w14:paraId="17EDBBDB" w14:textId="77777777">
        <w:trPr>
          <w:trHeight w:val="480"/>
        </w:trPr>
        <w:tc>
          <w:tcPr>
            <w:tcW w:w="1815" w:type="dxa"/>
            <w:tcBorders>
              <w:top w:val="nil"/>
              <w:left w:val="nil"/>
              <w:bottom w:val="single" w:sz="6" w:space="0" w:color="000000"/>
              <w:right w:val="nil"/>
            </w:tcBorders>
            <w:tcMar>
              <w:top w:w="0" w:type="dxa"/>
              <w:left w:w="100" w:type="dxa"/>
              <w:bottom w:w="0" w:type="dxa"/>
              <w:right w:w="100" w:type="dxa"/>
            </w:tcMar>
          </w:tcPr>
          <w:p w14:paraId="48F4FD90"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79B06B87" w14:textId="77777777" w:rsidR="00761594" w:rsidRDefault="00000000">
            <w:pPr>
              <w:rPr>
                <w:rFonts w:ascii="Calibri" w:eastAsia="Calibri" w:hAnsi="Calibri" w:cs="Calibri"/>
                <w:b/>
                <w:sz w:val="20"/>
                <w:szCs w:val="20"/>
              </w:rPr>
            </w:pPr>
            <w:r>
              <w:rPr>
                <w:rFonts w:ascii="Calibri" w:eastAsia="Calibri" w:hAnsi="Calibri" w:cs="Calibri"/>
                <w:b/>
                <w:sz w:val="20"/>
                <w:szCs w:val="20"/>
              </w:rPr>
              <w:t>log2 avg. C-peptide</w:t>
            </w:r>
          </w:p>
        </w:tc>
        <w:tc>
          <w:tcPr>
            <w:tcW w:w="1305" w:type="dxa"/>
            <w:tcBorders>
              <w:top w:val="nil"/>
              <w:left w:val="nil"/>
              <w:bottom w:val="single" w:sz="6" w:space="0" w:color="000000"/>
              <w:right w:val="nil"/>
            </w:tcBorders>
            <w:tcMar>
              <w:top w:w="0" w:type="dxa"/>
              <w:left w:w="100" w:type="dxa"/>
              <w:bottom w:w="0" w:type="dxa"/>
              <w:right w:w="100" w:type="dxa"/>
            </w:tcMar>
          </w:tcPr>
          <w:p w14:paraId="001A21AB" w14:textId="77777777" w:rsidR="00761594" w:rsidRDefault="00000000">
            <w:pPr>
              <w:rPr>
                <w:rFonts w:ascii="Calibri" w:eastAsia="Calibri" w:hAnsi="Calibri" w:cs="Calibri"/>
                <w:sz w:val="20"/>
                <w:szCs w:val="20"/>
              </w:rPr>
            </w:pPr>
            <w:r>
              <w:rPr>
                <w:rFonts w:ascii="Calibri" w:eastAsia="Calibri" w:hAnsi="Calibri" w:cs="Calibri"/>
                <w:sz w:val="20"/>
                <w:szCs w:val="20"/>
              </w:rPr>
              <w:t>-0.040</w:t>
            </w:r>
          </w:p>
        </w:tc>
        <w:tc>
          <w:tcPr>
            <w:tcW w:w="1065" w:type="dxa"/>
            <w:tcBorders>
              <w:top w:val="nil"/>
              <w:left w:val="nil"/>
              <w:bottom w:val="single" w:sz="6" w:space="0" w:color="000000"/>
              <w:right w:val="nil"/>
            </w:tcBorders>
            <w:tcMar>
              <w:top w:w="0" w:type="dxa"/>
              <w:left w:w="100" w:type="dxa"/>
              <w:bottom w:w="0" w:type="dxa"/>
              <w:right w:w="100" w:type="dxa"/>
            </w:tcMar>
          </w:tcPr>
          <w:p w14:paraId="058A47C2" w14:textId="77777777" w:rsidR="00761594" w:rsidRDefault="00000000">
            <w:pPr>
              <w:rPr>
                <w:rFonts w:ascii="Calibri" w:eastAsia="Calibri" w:hAnsi="Calibri" w:cs="Calibri"/>
                <w:sz w:val="20"/>
                <w:szCs w:val="20"/>
              </w:rPr>
            </w:pPr>
            <w:r>
              <w:rPr>
                <w:rFonts w:ascii="Calibri" w:eastAsia="Calibri" w:hAnsi="Calibri" w:cs="Calibri"/>
                <w:sz w:val="20"/>
                <w:szCs w:val="20"/>
              </w:rPr>
              <w:t>0.015</w:t>
            </w:r>
          </w:p>
        </w:tc>
        <w:tc>
          <w:tcPr>
            <w:tcW w:w="1590" w:type="dxa"/>
            <w:tcBorders>
              <w:top w:val="nil"/>
              <w:left w:val="nil"/>
              <w:bottom w:val="single" w:sz="6" w:space="0" w:color="000000"/>
              <w:right w:val="nil"/>
            </w:tcBorders>
            <w:tcMar>
              <w:top w:w="0" w:type="dxa"/>
              <w:left w:w="100" w:type="dxa"/>
              <w:bottom w:w="0" w:type="dxa"/>
              <w:right w:w="100" w:type="dxa"/>
            </w:tcMar>
          </w:tcPr>
          <w:p w14:paraId="24EF9E85" w14:textId="77777777" w:rsidR="00761594" w:rsidRDefault="00000000">
            <w:pPr>
              <w:rPr>
                <w:rFonts w:ascii="Calibri" w:eastAsia="Calibri" w:hAnsi="Calibri" w:cs="Calibri"/>
                <w:sz w:val="20"/>
                <w:szCs w:val="20"/>
              </w:rPr>
            </w:pPr>
            <w:r>
              <w:rPr>
                <w:rFonts w:ascii="Calibri" w:eastAsia="Calibri" w:hAnsi="Calibri" w:cs="Calibri"/>
                <w:sz w:val="20"/>
                <w:szCs w:val="20"/>
              </w:rPr>
              <w:t>[-0.07,-0.01]</w:t>
            </w:r>
          </w:p>
        </w:tc>
        <w:tc>
          <w:tcPr>
            <w:tcW w:w="1500" w:type="dxa"/>
            <w:tcBorders>
              <w:top w:val="nil"/>
              <w:left w:val="nil"/>
              <w:bottom w:val="single" w:sz="6" w:space="0" w:color="000000"/>
              <w:right w:val="nil"/>
            </w:tcBorders>
            <w:tcMar>
              <w:top w:w="0" w:type="dxa"/>
              <w:left w:w="100" w:type="dxa"/>
              <w:bottom w:w="0" w:type="dxa"/>
              <w:right w:w="100" w:type="dxa"/>
            </w:tcMar>
          </w:tcPr>
          <w:p w14:paraId="17A10948" w14:textId="77777777" w:rsidR="00761594" w:rsidRDefault="00000000">
            <w:pPr>
              <w:rPr>
                <w:rFonts w:ascii="Calibri" w:eastAsia="Calibri" w:hAnsi="Calibri" w:cs="Calibri"/>
                <w:b/>
                <w:sz w:val="20"/>
                <w:szCs w:val="20"/>
              </w:rPr>
            </w:pPr>
            <w:r>
              <w:rPr>
                <w:rFonts w:ascii="Calibri" w:eastAsia="Calibri" w:hAnsi="Calibri" w:cs="Calibri"/>
                <w:b/>
                <w:sz w:val="20"/>
                <w:szCs w:val="20"/>
              </w:rPr>
              <w:t>0.01</w:t>
            </w:r>
          </w:p>
        </w:tc>
      </w:tr>
      <w:tr w:rsidR="00761594" w14:paraId="2977F12A" w14:textId="77777777">
        <w:trPr>
          <w:trHeight w:val="480"/>
        </w:trPr>
        <w:tc>
          <w:tcPr>
            <w:tcW w:w="1815" w:type="dxa"/>
            <w:tcBorders>
              <w:top w:val="nil"/>
              <w:left w:val="nil"/>
              <w:bottom w:val="nil"/>
              <w:right w:val="nil"/>
            </w:tcBorders>
            <w:tcMar>
              <w:top w:w="0" w:type="dxa"/>
              <w:left w:w="100" w:type="dxa"/>
              <w:bottom w:w="0" w:type="dxa"/>
              <w:right w:w="100" w:type="dxa"/>
            </w:tcMar>
          </w:tcPr>
          <w:p w14:paraId="164C6E3B" w14:textId="77777777" w:rsidR="00761594" w:rsidRDefault="00000000">
            <w:pPr>
              <w:rPr>
                <w:rFonts w:ascii="Calibri" w:eastAsia="Calibri" w:hAnsi="Calibri" w:cs="Calibri"/>
                <w:sz w:val="20"/>
                <w:szCs w:val="20"/>
                <w:vertAlign w:val="subscript"/>
              </w:rPr>
            </w:pPr>
            <w:r>
              <w:rPr>
                <w:rFonts w:ascii="Calibri" w:eastAsia="Calibri" w:hAnsi="Calibri" w:cs="Calibri"/>
                <w:sz w:val="20"/>
                <w:szCs w:val="20"/>
              </w:rPr>
              <w:t>∆ ELBM</w:t>
            </w:r>
            <w:r>
              <w:rPr>
                <w:rFonts w:ascii="Calibri" w:eastAsia="Calibri" w:hAnsi="Calibri" w:cs="Calibri"/>
                <w:sz w:val="20"/>
                <w:szCs w:val="20"/>
                <w:vertAlign w:val="subscript"/>
              </w:rPr>
              <w:t>sample t1-t0</w:t>
            </w:r>
          </w:p>
        </w:tc>
        <w:tc>
          <w:tcPr>
            <w:tcW w:w="1860" w:type="dxa"/>
            <w:tcBorders>
              <w:top w:val="nil"/>
              <w:left w:val="nil"/>
              <w:bottom w:val="nil"/>
              <w:right w:val="nil"/>
            </w:tcBorders>
            <w:tcMar>
              <w:top w:w="0" w:type="dxa"/>
              <w:left w:w="100" w:type="dxa"/>
              <w:bottom w:w="0" w:type="dxa"/>
              <w:right w:w="100" w:type="dxa"/>
            </w:tcMar>
          </w:tcPr>
          <w:p w14:paraId="0D2D88F8" w14:textId="77777777" w:rsidR="00761594" w:rsidRDefault="00000000">
            <w:pPr>
              <w:rPr>
                <w:rFonts w:ascii="Calibri" w:eastAsia="Calibri" w:hAnsi="Calibri" w:cs="Calibri"/>
                <w:sz w:val="20"/>
                <w:szCs w:val="20"/>
              </w:rPr>
            </w:pPr>
            <w:r>
              <w:rPr>
                <w:rFonts w:ascii="Calibri" w:eastAsia="Calibri" w:hAnsi="Calibri" w:cs="Calibr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26EC3E6A" w14:textId="77777777" w:rsidR="00761594" w:rsidRDefault="00000000">
            <w:pPr>
              <w:rPr>
                <w:rFonts w:ascii="Calibri" w:eastAsia="Calibri" w:hAnsi="Calibri" w:cs="Calibri"/>
                <w:sz w:val="20"/>
                <w:szCs w:val="20"/>
              </w:rPr>
            </w:pPr>
            <w:r>
              <w:rPr>
                <w:rFonts w:ascii="Calibri" w:eastAsia="Calibri" w:hAnsi="Calibri" w:cs="Calibri"/>
                <w:sz w:val="20"/>
                <w:szCs w:val="20"/>
              </w:rPr>
              <w:t>1.033</w:t>
            </w:r>
          </w:p>
        </w:tc>
        <w:tc>
          <w:tcPr>
            <w:tcW w:w="1065" w:type="dxa"/>
            <w:tcBorders>
              <w:top w:val="nil"/>
              <w:left w:val="nil"/>
              <w:bottom w:val="nil"/>
              <w:right w:val="nil"/>
            </w:tcBorders>
            <w:tcMar>
              <w:top w:w="0" w:type="dxa"/>
              <w:left w:w="100" w:type="dxa"/>
              <w:bottom w:w="0" w:type="dxa"/>
              <w:right w:w="100" w:type="dxa"/>
            </w:tcMar>
          </w:tcPr>
          <w:p w14:paraId="50234010" w14:textId="77777777" w:rsidR="00761594" w:rsidRDefault="00000000">
            <w:pPr>
              <w:rPr>
                <w:rFonts w:ascii="Calibri" w:eastAsia="Calibri" w:hAnsi="Calibri" w:cs="Calibri"/>
                <w:sz w:val="20"/>
                <w:szCs w:val="20"/>
              </w:rPr>
            </w:pPr>
            <w:r>
              <w:rPr>
                <w:rFonts w:ascii="Calibri" w:eastAsia="Calibri" w:hAnsi="Calibri" w:cs="Calibri"/>
                <w:sz w:val="20"/>
                <w:szCs w:val="20"/>
              </w:rPr>
              <w:t>0.246</w:t>
            </w:r>
          </w:p>
        </w:tc>
        <w:tc>
          <w:tcPr>
            <w:tcW w:w="1590" w:type="dxa"/>
            <w:tcBorders>
              <w:top w:val="nil"/>
              <w:left w:val="nil"/>
              <w:bottom w:val="nil"/>
              <w:right w:val="nil"/>
            </w:tcBorders>
            <w:tcMar>
              <w:top w:w="0" w:type="dxa"/>
              <w:left w:w="100" w:type="dxa"/>
              <w:bottom w:w="0" w:type="dxa"/>
              <w:right w:w="100" w:type="dxa"/>
            </w:tcMar>
          </w:tcPr>
          <w:p w14:paraId="735D75F2" w14:textId="77777777" w:rsidR="00761594" w:rsidRDefault="00000000">
            <w:pPr>
              <w:rPr>
                <w:rFonts w:ascii="Calibri" w:eastAsia="Calibri" w:hAnsi="Calibri" w:cs="Calibri"/>
                <w:sz w:val="20"/>
                <w:szCs w:val="20"/>
              </w:rPr>
            </w:pPr>
            <w:r>
              <w:rPr>
                <w:rFonts w:ascii="Calibri" w:eastAsia="Calibri" w:hAnsi="Calibri" w:cs="Calibri"/>
                <w:sz w:val="20"/>
                <w:szCs w:val="20"/>
              </w:rPr>
              <w:t>[0.55,1.51]</w:t>
            </w:r>
          </w:p>
        </w:tc>
        <w:tc>
          <w:tcPr>
            <w:tcW w:w="1500" w:type="dxa"/>
            <w:tcBorders>
              <w:top w:val="nil"/>
              <w:left w:val="nil"/>
              <w:bottom w:val="nil"/>
              <w:right w:val="nil"/>
            </w:tcBorders>
            <w:tcMar>
              <w:top w:w="0" w:type="dxa"/>
              <w:left w:w="100" w:type="dxa"/>
              <w:bottom w:w="0" w:type="dxa"/>
              <w:right w:w="100" w:type="dxa"/>
            </w:tcMar>
          </w:tcPr>
          <w:p w14:paraId="6382BC20" w14:textId="77777777" w:rsidR="00761594" w:rsidRDefault="00000000">
            <w:pPr>
              <w:rPr>
                <w:rFonts w:ascii="Calibri" w:eastAsia="Calibri" w:hAnsi="Calibri" w:cs="Calibri"/>
                <w:sz w:val="20"/>
                <w:szCs w:val="20"/>
              </w:rPr>
            </w:pPr>
            <w:r>
              <w:rPr>
                <w:rFonts w:ascii="Calibri" w:eastAsia="Calibri" w:hAnsi="Calibri" w:cs="Calibri"/>
                <w:sz w:val="20"/>
                <w:szCs w:val="20"/>
              </w:rPr>
              <w:t>&lt;0.001</w:t>
            </w:r>
          </w:p>
        </w:tc>
      </w:tr>
      <w:tr w:rsidR="00761594" w14:paraId="692CD8D8" w14:textId="77777777">
        <w:trPr>
          <w:trHeight w:val="240"/>
        </w:trPr>
        <w:tc>
          <w:tcPr>
            <w:tcW w:w="1815" w:type="dxa"/>
            <w:tcBorders>
              <w:top w:val="nil"/>
              <w:left w:val="nil"/>
              <w:bottom w:val="nil"/>
              <w:right w:val="nil"/>
            </w:tcBorders>
            <w:tcMar>
              <w:top w:w="0" w:type="dxa"/>
              <w:left w:w="100" w:type="dxa"/>
              <w:bottom w:w="0" w:type="dxa"/>
              <w:right w:w="100" w:type="dxa"/>
            </w:tcMar>
          </w:tcPr>
          <w:p w14:paraId="796BB46B"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n = 520</w:t>
            </w:r>
          </w:p>
        </w:tc>
        <w:tc>
          <w:tcPr>
            <w:tcW w:w="1860" w:type="dxa"/>
            <w:tcBorders>
              <w:top w:val="nil"/>
              <w:left w:val="nil"/>
              <w:bottom w:val="nil"/>
              <w:right w:val="nil"/>
            </w:tcBorders>
            <w:tcMar>
              <w:top w:w="0" w:type="dxa"/>
              <w:left w:w="100" w:type="dxa"/>
              <w:bottom w:w="0" w:type="dxa"/>
              <w:right w:w="100" w:type="dxa"/>
            </w:tcMar>
          </w:tcPr>
          <w:p w14:paraId="33F556BF" w14:textId="77777777" w:rsidR="00761594" w:rsidRDefault="00000000">
            <w:pPr>
              <w:rPr>
                <w:rFonts w:ascii="Calibri" w:eastAsia="Calibri" w:hAnsi="Calibri" w:cs="Calibri"/>
                <w:sz w:val="20"/>
                <w:szCs w:val="20"/>
              </w:rPr>
            </w:pPr>
            <w:r>
              <w:rPr>
                <w:rFonts w:ascii="Calibri" w:eastAsia="Calibri" w:hAnsi="Calibri" w:cs="Calibri"/>
                <w:sz w:val="20"/>
                <w:szCs w:val="20"/>
              </w:rPr>
              <w:t>Age</w:t>
            </w:r>
          </w:p>
        </w:tc>
        <w:tc>
          <w:tcPr>
            <w:tcW w:w="1305" w:type="dxa"/>
            <w:tcBorders>
              <w:top w:val="nil"/>
              <w:left w:val="nil"/>
              <w:bottom w:val="nil"/>
              <w:right w:val="nil"/>
            </w:tcBorders>
            <w:tcMar>
              <w:top w:w="0" w:type="dxa"/>
              <w:left w:w="100" w:type="dxa"/>
              <w:bottom w:w="0" w:type="dxa"/>
              <w:right w:w="100" w:type="dxa"/>
            </w:tcMar>
          </w:tcPr>
          <w:p w14:paraId="660DAA30" w14:textId="77777777" w:rsidR="00761594" w:rsidRDefault="00000000">
            <w:pPr>
              <w:rPr>
                <w:rFonts w:ascii="Calibri" w:eastAsia="Calibri" w:hAnsi="Calibri" w:cs="Calibri"/>
                <w:sz w:val="20"/>
                <w:szCs w:val="20"/>
              </w:rPr>
            </w:pPr>
            <w:r>
              <w:rPr>
                <w:rFonts w:ascii="Calibri" w:eastAsia="Calibri" w:hAnsi="Calibri" w:cs="Calibri"/>
                <w:sz w:val="20"/>
                <w:szCs w:val="20"/>
              </w:rPr>
              <w:t>0.010</w:t>
            </w:r>
          </w:p>
        </w:tc>
        <w:tc>
          <w:tcPr>
            <w:tcW w:w="1065" w:type="dxa"/>
            <w:tcBorders>
              <w:top w:val="nil"/>
              <w:left w:val="nil"/>
              <w:bottom w:val="nil"/>
              <w:right w:val="nil"/>
            </w:tcBorders>
            <w:tcMar>
              <w:top w:w="0" w:type="dxa"/>
              <w:left w:w="100" w:type="dxa"/>
              <w:bottom w:w="0" w:type="dxa"/>
              <w:right w:w="100" w:type="dxa"/>
            </w:tcMar>
          </w:tcPr>
          <w:p w14:paraId="3546D43F" w14:textId="77777777" w:rsidR="00761594" w:rsidRDefault="00000000">
            <w:pPr>
              <w:rPr>
                <w:rFonts w:ascii="Calibri" w:eastAsia="Calibri" w:hAnsi="Calibri" w:cs="Calibri"/>
                <w:sz w:val="20"/>
                <w:szCs w:val="20"/>
              </w:rPr>
            </w:pPr>
            <w:r>
              <w:rPr>
                <w:rFonts w:ascii="Calibri" w:eastAsia="Calibri" w:hAnsi="Calibri" w:cs="Calibri"/>
                <w:sz w:val="20"/>
                <w:szCs w:val="20"/>
              </w:rPr>
              <w:t>0.008</w:t>
            </w:r>
          </w:p>
        </w:tc>
        <w:tc>
          <w:tcPr>
            <w:tcW w:w="1590" w:type="dxa"/>
            <w:tcBorders>
              <w:top w:val="nil"/>
              <w:left w:val="nil"/>
              <w:bottom w:val="nil"/>
              <w:right w:val="nil"/>
            </w:tcBorders>
            <w:tcMar>
              <w:top w:w="0" w:type="dxa"/>
              <w:left w:w="100" w:type="dxa"/>
              <w:bottom w:w="0" w:type="dxa"/>
              <w:right w:w="100" w:type="dxa"/>
            </w:tcMar>
          </w:tcPr>
          <w:p w14:paraId="7949426F" w14:textId="77777777" w:rsidR="00761594" w:rsidRDefault="00000000">
            <w:pPr>
              <w:rPr>
                <w:rFonts w:ascii="Calibri" w:eastAsia="Calibri" w:hAnsi="Calibri" w:cs="Calibri"/>
                <w:sz w:val="20"/>
                <w:szCs w:val="20"/>
              </w:rPr>
            </w:pPr>
            <w:r>
              <w:rPr>
                <w:rFonts w:ascii="Calibri" w:eastAsia="Calibri" w:hAnsi="Calibri" w:cs="Calibri"/>
                <w:sz w:val="20"/>
                <w:szCs w:val="20"/>
              </w:rPr>
              <w:t>[-0.01,0.03]</w:t>
            </w:r>
          </w:p>
        </w:tc>
        <w:tc>
          <w:tcPr>
            <w:tcW w:w="1500" w:type="dxa"/>
            <w:tcBorders>
              <w:top w:val="nil"/>
              <w:left w:val="nil"/>
              <w:bottom w:val="nil"/>
              <w:right w:val="nil"/>
            </w:tcBorders>
            <w:tcMar>
              <w:top w:w="0" w:type="dxa"/>
              <w:left w:w="100" w:type="dxa"/>
              <w:bottom w:w="0" w:type="dxa"/>
              <w:right w:w="100" w:type="dxa"/>
            </w:tcMar>
          </w:tcPr>
          <w:p w14:paraId="0A869C75" w14:textId="77777777" w:rsidR="00761594" w:rsidRDefault="00000000">
            <w:pPr>
              <w:rPr>
                <w:rFonts w:ascii="Calibri" w:eastAsia="Calibri" w:hAnsi="Calibri" w:cs="Calibri"/>
                <w:sz w:val="20"/>
                <w:szCs w:val="20"/>
              </w:rPr>
            </w:pPr>
            <w:r>
              <w:rPr>
                <w:rFonts w:ascii="Calibri" w:eastAsia="Calibri" w:hAnsi="Calibri" w:cs="Calibri"/>
                <w:sz w:val="20"/>
                <w:szCs w:val="20"/>
              </w:rPr>
              <w:t>0.202</w:t>
            </w:r>
          </w:p>
        </w:tc>
      </w:tr>
      <w:tr w:rsidR="00761594" w14:paraId="52F80EE6" w14:textId="77777777">
        <w:trPr>
          <w:trHeight w:val="240"/>
        </w:trPr>
        <w:tc>
          <w:tcPr>
            <w:tcW w:w="1815" w:type="dxa"/>
            <w:tcBorders>
              <w:top w:val="nil"/>
              <w:left w:val="nil"/>
              <w:bottom w:val="nil"/>
              <w:right w:val="nil"/>
            </w:tcBorders>
            <w:tcMar>
              <w:top w:w="0" w:type="dxa"/>
              <w:left w:w="100" w:type="dxa"/>
              <w:bottom w:w="0" w:type="dxa"/>
              <w:right w:w="100" w:type="dxa"/>
            </w:tcMar>
          </w:tcPr>
          <w:p w14:paraId="7887B3FA"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0910720A" w14:textId="77777777" w:rsidR="00761594" w:rsidRDefault="00000000">
            <w:pPr>
              <w:rPr>
                <w:rFonts w:ascii="Calibri" w:eastAsia="Calibri" w:hAnsi="Calibri" w:cs="Calibri"/>
                <w:sz w:val="20"/>
                <w:szCs w:val="20"/>
              </w:rPr>
            </w:pPr>
            <w:r>
              <w:rPr>
                <w:rFonts w:ascii="Calibri" w:eastAsia="Calibri" w:hAnsi="Calibri" w:cs="Calibri"/>
                <w:sz w:val="20"/>
                <w:szCs w:val="20"/>
              </w:rPr>
              <w:t>Sex</w:t>
            </w:r>
          </w:p>
        </w:tc>
        <w:tc>
          <w:tcPr>
            <w:tcW w:w="1305" w:type="dxa"/>
            <w:tcBorders>
              <w:top w:val="nil"/>
              <w:left w:val="nil"/>
              <w:bottom w:val="nil"/>
              <w:right w:val="nil"/>
            </w:tcBorders>
            <w:tcMar>
              <w:top w:w="0" w:type="dxa"/>
              <w:left w:w="100" w:type="dxa"/>
              <w:bottom w:w="0" w:type="dxa"/>
              <w:right w:w="100" w:type="dxa"/>
            </w:tcMar>
          </w:tcPr>
          <w:p w14:paraId="56F3929E" w14:textId="77777777" w:rsidR="00761594" w:rsidRDefault="00000000">
            <w:pPr>
              <w:rPr>
                <w:rFonts w:ascii="Calibri" w:eastAsia="Calibri" w:hAnsi="Calibri" w:cs="Calibri"/>
                <w:sz w:val="20"/>
                <w:szCs w:val="20"/>
              </w:rPr>
            </w:pPr>
            <w:r>
              <w:rPr>
                <w:rFonts w:ascii="Calibri" w:eastAsia="Calibri" w:hAnsi="Calibri" w:cs="Calibri"/>
                <w:sz w:val="20"/>
                <w:szCs w:val="20"/>
              </w:rPr>
              <w:t>-0.005</w:t>
            </w:r>
          </w:p>
        </w:tc>
        <w:tc>
          <w:tcPr>
            <w:tcW w:w="1065" w:type="dxa"/>
            <w:tcBorders>
              <w:top w:val="nil"/>
              <w:left w:val="nil"/>
              <w:bottom w:val="nil"/>
              <w:right w:val="nil"/>
            </w:tcBorders>
            <w:tcMar>
              <w:top w:w="0" w:type="dxa"/>
              <w:left w:w="100" w:type="dxa"/>
              <w:bottom w:w="0" w:type="dxa"/>
              <w:right w:w="100" w:type="dxa"/>
            </w:tcMar>
          </w:tcPr>
          <w:p w14:paraId="594C9EF3" w14:textId="77777777" w:rsidR="00761594" w:rsidRDefault="00000000">
            <w:pPr>
              <w:rPr>
                <w:rFonts w:ascii="Calibri" w:eastAsia="Calibri" w:hAnsi="Calibri" w:cs="Calibri"/>
                <w:sz w:val="20"/>
                <w:szCs w:val="20"/>
              </w:rPr>
            </w:pPr>
            <w:r>
              <w:rPr>
                <w:rFonts w:ascii="Calibri" w:eastAsia="Calibri" w:hAnsi="Calibri" w:cs="Calibri"/>
                <w:sz w:val="20"/>
                <w:szCs w:val="20"/>
              </w:rPr>
              <w:t>0.027</w:t>
            </w:r>
          </w:p>
        </w:tc>
        <w:tc>
          <w:tcPr>
            <w:tcW w:w="1590" w:type="dxa"/>
            <w:tcBorders>
              <w:top w:val="nil"/>
              <w:left w:val="nil"/>
              <w:bottom w:val="nil"/>
              <w:right w:val="nil"/>
            </w:tcBorders>
            <w:tcMar>
              <w:top w:w="0" w:type="dxa"/>
              <w:left w:w="100" w:type="dxa"/>
              <w:bottom w:w="0" w:type="dxa"/>
              <w:right w:w="100" w:type="dxa"/>
            </w:tcMar>
          </w:tcPr>
          <w:p w14:paraId="6B7AAB2A" w14:textId="77777777" w:rsidR="00761594" w:rsidRDefault="00000000">
            <w:pPr>
              <w:rPr>
                <w:rFonts w:ascii="Calibri" w:eastAsia="Calibri" w:hAnsi="Calibri" w:cs="Calibri"/>
                <w:sz w:val="20"/>
                <w:szCs w:val="20"/>
              </w:rPr>
            </w:pPr>
            <w:r>
              <w:rPr>
                <w:rFonts w:ascii="Calibri" w:eastAsia="Calibri" w:hAnsi="Calibri" w:cs="Calibri"/>
                <w:sz w:val="20"/>
                <w:szCs w:val="20"/>
              </w:rPr>
              <w:t>[-0.06,0.05]</w:t>
            </w:r>
          </w:p>
        </w:tc>
        <w:tc>
          <w:tcPr>
            <w:tcW w:w="1500" w:type="dxa"/>
            <w:tcBorders>
              <w:top w:val="nil"/>
              <w:left w:val="nil"/>
              <w:bottom w:val="nil"/>
              <w:right w:val="nil"/>
            </w:tcBorders>
            <w:tcMar>
              <w:top w:w="0" w:type="dxa"/>
              <w:left w:w="100" w:type="dxa"/>
              <w:bottom w:w="0" w:type="dxa"/>
              <w:right w:w="100" w:type="dxa"/>
            </w:tcMar>
          </w:tcPr>
          <w:p w14:paraId="5C0550C2" w14:textId="77777777" w:rsidR="00761594" w:rsidRDefault="00000000">
            <w:pPr>
              <w:rPr>
                <w:rFonts w:ascii="Calibri" w:eastAsia="Calibri" w:hAnsi="Calibri" w:cs="Calibri"/>
                <w:sz w:val="20"/>
                <w:szCs w:val="20"/>
              </w:rPr>
            </w:pPr>
            <w:r>
              <w:rPr>
                <w:rFonts w:ascii="Calibri" w:eastAsia="Calibri" w:hAnsi="Calibri" w:cs="Calibri"/>
                <w:sz w:val="20"/>
                <w:szCs w:val="20"/>
              </w:rPr>
              <w:t>0.850</w:t>
            </w:r>
          </w:p>
        </w:tc>
      </w:tr>
      <w:tr w:rsidR="00761594" w14:paraId="07D4640F" w14:textId="77777777">
        <w:trPr>
          <w:trHeight w:val="465"/>
        </w:trPr>
        <w:tc>
          <w:tcPr>
            <w:tcW w:w="1815" w:type="dxa"/>
            <w:tcBorders>
              <w:top w:val="nil"/>
              <w:left w:val="nil"/>
              <w:bottom w:val="nil"/>
              <w:right w:val="nil"/>
            </w:tcBorders>
            <w:tcMar>
              <w:top w:w="0" w:type="dxa"/>
              <w:left w:w="100" w:type="dxa"/>
              <w:bottom w:w="0" w:type="dxa"/>
              <w:right w:w="100" w:type="dxa"/>
            </w:tcMar>
          </w:tcPr>
          <w:p w14:paraId="11606107"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39770A5B" w14:textId="77777777" w:rsidR="00761594" w:rsidRDefault="00000000">
            <w:pPr>
              <w:rPr>
                <w:rFonts w:ascii="Calibri" w:eastAsia="Calibri" w:hAnsi="Calibri" w:cs="Calibri"/>
                <w:b/>
                <w:sz w:val="20"/>
                <w:szCs w:val="20"/>
              </w:rPr>
            </w:pPr>
            <w:r>
              <w:rPr>
                <w:rFonts w:ascii="Calibri" w:eastAsia="Calibri" w:hAnsi="Calibri" w:cs="Calibri"/>
                <w:b/>
                <w:sz w:val="20"/>
                <w:szCs w:val="20"/>
              </w:rPr>
              <w:t>log2 Neopterin</w:t>
            </w:r>
            <w:r>
              <w:rPr>
                <w:rFonts w:ascii="Calibri" w:eastAsia="Calibri" w:hAnsi="Calibri" w:cs="Calibri"/>
                <w:sz w:val="20"/>
                <w:szCs w:val="20"/>
                <w:vertAlign w:val="subscript"/>
              </w:rPr>
              <w:t>t0</w:t>
            </w:r>
          </w:p>
        </w:tc>
        <w:tc>
          <w:tcPr>
            <w:tcW w:w="1305" w:type="dxa"/>
            <w:tcBorders>
              <w:top w:val="nil"/>
              <w:left w:val="nil"/>
              <w:bottom w:val="nil"/>
              <w:right w:val="nil"/>
            </w:tcBorders>
            <w:tcMar>
              <w:top w:w="0" w:type="dxa"/>
              <w:left w:w="100" w:type="dxa"/>
              <w:bottom w:w="0" w:type="dxa"/>
              <w:right w:w="100" w:type="dxa"/>
            </w:tcMar>
          </w:tcPr>
          <w:p w14:paraId="26D52378" w14:textId="77777777" w:rsidR="00761594" w:rsidRDefault="00000000">
            <w:pPr>
              <w:rPr>
                <w:rFonts w:ascii="Calibri" w:eastAsia="Calibri" w:hAnsi="Calibri" w:cs="Calibri"/>
                <w:sz w:val="20"/>
                <w:szCs w:val="20"/>
              </w:rPr>
            </w:pPr>
            <w:r>
              <w:rPr>
                <w:rFonts w:ascii="Calibri" w:eastAsia="Calibri" w:hAnsi="Calibri" w:cs="Calibri"/>
                <w:sz w:val="20"/>
                <w:szCs w:val="20"/>
              </w:rPr>
              <w:t>-0.102</w:t>
            </w:r>
          </w:p>
        </w:tc>
        <w:tc>
          <w:tcPr>
            <w:tcW w:w="1065" w:type="dxa"/>
            <w:tcBorders>
              <w:top w:val="nil"/>
              <w:left w:val="nil"/>
              <w:bottom w:val="nil"/>
              <w:right w:val="nil"/>
            </w:tcBorders>
            <w:tcMar>
              <w:top w:w="0" w:type="dxa"/>
              <w:left w:w="100" w:type="dxa"/>
              <w:bottom w:w="0" w:type="dxa"/>
              <w:right w:w="100" w:type="dxa"/>
            </w:tcMar>
          </w:tcPr>
          <w:p w14:paraId="59BE8756" w14:textId="77777777" w:rsidR="00761594" w:rsidRDefault="00000000">
            <w:pPr>
              <w:rPr>
                <w:rFonts w:ascii="Calibri" w:eastAsia="Calibri" w:hAnsi="Calibri" w:cs="Calibri"/>
                <w:sz w:val="20"/>
                <w:szCs w:val="20"/>
              </w:rPr>
            </w:pPr>
            <w:r>
              <w:rPr>
                <w:rFonts w:ascii="Calibri" w:eastAsia="Calibri" w:hAnsi="Calibri" w:cs="Calibri"/>
                <w:sz w:val="20"/>
                <w:szCs w:val="20"/>
              </w:rPr>
              <w:t>0.025</w:t>
            </w:r>
          </w:p>
        </w:tc>
        <w:tc>
          <w:tcPr>
            <w:tcW w:w="1590" w:type="dxa"/>
            <w:tcBorders>
              <w:top w:val="nil"/>
              <w:left w:val="nil"/>
              <w:bottom w:val="nil"/>
              <w:right w:val="nil"/>
            </w:tcBorders>
            <w:tcMar>
              <w:top w:w="0" w:type="dxa"/>
              <w:left w:w="100" w:type="dxa"/>
              <w:bottom w:w="0" w:type="dxa"/>
              <w:right w:w="100" w:type="dxa"/>
            </w:tcMar>
          </w:tcPr>
          <w:p w14:paraId="7D5AD8C9" w14:textId="77777777" w:rsidR="00761594" w:rsidRDefault="00000000">
            <w:pPr>
              <w:rPr>
                <w:rFonts w:ascii="Calibri" w:eastAsia="Calibri" w:hAnsi="Calibri" w:cs="Calibri"/>
                <w:sz w:val="20"/>
                <w:szCs w:val="20"/>
              </w:rPr>
            </w:pPr>
            <w:r>
              <w:rPr>
                <w:rFonts w:ascii="Calibri" w:eastAsia="Calibri" w:hAnsi="Calibri" w:cs="Calibri"/>
                <w:sz w:val="20"/>
                <w:szCs w:val="20"/>
              </w:rPr>
              <w:t>[-0.15,-0.05]</w:t>
            </w:r>
          </w:p>
        </w:tc>
        <w:tc>
          <w:tcPr>
            <w:tcW w:w="1500" w:type="dxa"/>
            <w:tcBorders>
              <w:top w:val="nil"/>
              <w:left w:val="nil"/>
              <w:bottom w:val="nil"/>
              <w:right w:val="nil"/>
            </w:tcBorders>
            <w:tcMar>
              <w:top w:w="0" w:type="dxa"/>
              <w:left w:w="100" w:type="dxa"/>
              <w:bottom w:w="0" w:type="dxa"/>
              <w:right w:w="100" w:type="dxa"/>
            </w:tcMar>
          </w:tcPr>
          <w:p w14:paraId="213BA277" w14:textId="77777777" w:rsidR="00761594" w:rsidRDefault="00000000">
            <w:pPr>
              <w:rPr>
                <w:rFonts w:ascii="Calibri" w:eastAsia="Calibri" w:hAnsi="Calibri" w:cs="Calibri"/>
                <w:b/>
                <w:sz w:val="20"/>
                <w:szCs w:val="20"/>
              </w:rPr>
            </w:pPr>
            <w:r>
              <w:rPr>
                <w:rFonts w:ascii="Calibri" w:eastAsia="Calibri" w:hAnsi="Calibri" w:cs="Calibri"/>
                <w:b/>
                <w:sz w:val="20"/>
                <w:szCs w:val="20"/>
              </w:rPr>
              <w:t>&lt;0.001</w:t>
            </w:r>
          </w:p>
        </w:tc>
      </w:tr>
      <w:tr w:rsidR="00761594" w14:paraId="2E0D213D" w14:textId="77777777">
        <w:trPr>
          <w:trHeight w:val="240"/>
        </w:trPr>
        <w:tc>
          <w:tcPr>
            <w:tcW w:w="1815" w:type="dxa"/>
            <w:tcBorders>
              <w:top w:val="nil"/>
              <w:left w:val="nil"/>
              <w:bottom w:val="nil"/>
              <w:right w:val="nil"/>
            </w:tcBorders>
            <w:tcMar>
              <w:top w:w="0" w:type="dxa"/>
              <w:left w:w="100" w:type="dxa"/>
              <w:bottom w:w="0" w:type="dxa"/>
              <w:right w:w="100" w:type="dxa"/>
            </w:tcMar>
          </w:tcPr>
          <w:p w14:paraId="7A0F4918"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37742005" w14:textId="77777777" w:rsidR="00761594" w:rsidRDefault="00000000">
            <w:pPr>
              <w:rPr>
                <w:rFonts w:ascii="Calibri" w:eastAsia="Calibri" w:hAnsi="Calibri" w:cs="Calibri"/>
                <w:sz w:val="20"/>
                <w:szCs w:val="20"/>
              </w:rPr>
            </w:pPr>
            <w:r>
              <w:rPr>
                <w:rFonts w:ascii="Calibri" w:eastAsia="Calibri" w:hAnsi="Calibri" w:cs="Calibri"/>
                <w:sz w:val="20"/>
                <w:szCs w:val="20"/>
              </w:rPr>
              <w:t>log2 C-peptide</w:t>
            </w:r>
            <w:r>
              <w:rPr>
                <w:rFonts w:ascii="Calibri" w:eastAsia="Calibri" w:hAnsi="Calibri" w:cs="Calibri"/>
                <w:sz w:val="20"/>
                <w:szCs w:val="20"/>
                <w:vertAlign w:val="subscript"/>
              </w:rPr>
              <w:t>t0</w:t>
            </w:r>
          </w:p>
        </w:tc>
        <w:tc>
          <w:tcPr>
            <w:tcW w:w="1305" w:type="dxa"/>
            <w:tcBorders>
              <w:top w:val="nil"/>
              <w:left w:val="nil"/>
              <w:bottom w:val="nil"/>
              <w:right w:val="nil"/>
            </w:tcBorders>
            <w:tcMar>
              <w:top w:w="0" w:type="dxa"/>
              <w:left w:w="100" w:type="dxa"/>
              <w:bottom w:w="0" w:type="dxa"/>
              <w:right w:w="100" w:type="dxa"/>
            </w:tcMar>
          </w:tcPr>
          <w:p w14:paraId="7CFD34DB" w14:textId="77777777" w:rsidR="00761594" w:rsidRDefault="00000000">
            <w:pPr>
              <w:rPr>
                <w:rFonts w:ascii="Calibri" w:eastAsia="Calibri" w:hAnsi="Calibri" w:cs="Calibri"/>
                <w:sz w:val="20"/>
                <w:szCs w:val="20"/>
              </w:rPr>
            </w:pPr>
            <w:r>
              <w:rPr>
                <w:rFonts w:ascii="Calibri" w:eastAsia="Calibri" w:hAnsi="Calibri" w:cs="Calibri"/>
                <w:sz w:val="20"/>
                <w:szCs w:val="20"/>
              </w:rPr>
              <w:t>-0.019</w:t>
            </w:r>
          </w:p>
        </w:tc>
        <w:tc>
          <w:tcPr>
            <w:tcW w:w="1065" w:type="dxa"/>
            <w:tcBorders>
              <w:top w:val="nil"/>
              <w:left w:val="nil"/>
              <w:bottom w:val="nil"/>
              <w:right w:val="nil"/>
            </w:tcBorders>
            <w:tcMar>
              <w:top w:w="0" w:type="dxa"/>
              <w:left w:w="100" w:type="dxa"/>
              <w:bottom w:w="0" w:type="dxa"/>
              <w:right w:w="100" w:type="dxa"/>
            </w:tcMar>
          </w:tcPr>
          <w:p w14:paraId="18E1BBFC" w14:textId="77777777" w:rsidR="00761594" w:rsidRDefault="00000000">
            <w:pPr>
              <w:rPr>
                <w:rFonts w:ascii="Calibri" w:eastAsia="Calibri" w:hAnsi="Calibri" w:cs="Calibri"/>
                <w:sz w:val="20"/>
                <w:szCs w:val="20"/>
              </w:rPr>
            </w:pPr>
            <w:r>
              <w:rPr>
                <w:rFonts w:ascii="Calibri" w:eastAsia="Calibri" w:hAnsi="Calibri" w:cs="Calibri"/>
                <w:sz w:val="20"/>
                <w:szCs w:val="20"/>
              </w:rPr>
              <w:t>0.016</w:t>
            </w:r>
          </w:p>
        </w:tc>
        <w:tc>
          <w:tcPr>
            <w:tcW w:w="1590" w:type="dxa"/>
            <w:tcBorders>
              <w:top w:val="nil"/>
              <w:left w:val="nil"/>
              <w:bottom w:val="nil"/>
              <w:right w:val="nil"/>
            </w:tcBorders>
            <w:tcMar>
              <w:top w:w="0" w:type="dxa"/>
              <w:left w:w="100" w:type="dxa"/>
              <w:bottom w:w="0" w:type="dxa"/>
              <w:right w:w="100" w:type="dxa"/>
            </w:tcMar>
          </w:tcPr>
          <w:p w14:paraId="26F560C8" w14:textId="77777777" w:rsidR="00761594" w:rsidRDefault="00000000">
            <w:pPr>
              <w:rPr>
                <w:rFonts w:ascii="Calibri" w:eastAsia="Calibri" w:hAnsi="Calibri" w:cs="Calibri"/>
                <w:sz w:val="20"/>
                <w:szCs w:val="20"/>
              </w:rPr>
            </w:pPr>
            <w:r>
              <w:rPr>
                <w:rFonts w:ascii="Calibri" w:eastAsia="Calibri" w:hAnsi="Calibri" w:cs="Calibri"/>
                <w:sz w:val="20"/>
                <w:szCs w:val="20"/>
              </w:rPr>
              <w:t>[-0.05,0.01]</w:t>
            </w:r>
          </w:p>
        </w:tc>
        <w:tc>
          <w:tcPr>
            <w:tcW w:w="1500" w:type="dxa"/>
            <w:tcBorders>
              <w:top w:val="nil"/>
              <w:left w:val="nil"/>
              <w:bottom w:val="nil"/>
              <w:right w:val="nil"/>
            </w:tcBorders>
            <w:tcMar>
              <w:top w:w="0" w:type="dxa"/>
              <w:left w:w="100" w:type="dxa"/>
              <w:bottom w:w="0" w:type="dxa"/>
              <w:right w:w="100" w:type="dxa"/>
            </w:tcMar>
          </w:tcPr>
          <w:p w14:paraId="2E8E8EE8" w14:textId="77777777" w:rsidR="00761594" w:rsidRDefault="00000000">
            <w:pPr>
              <w:rPr>
                <w:rFonts w:ascii="Calibri" w:eastAsia="Calibri" w:hAnsi="Calibri" w:cs="Calibri"/>
                <w:sz w:val="20"/>
                <w:szCs w:val="20"/>
              </w:rPr>
            </w:pPr>
            <w:r>
              <w:rPr>
                <w:rFonts w:ascii="Calibri" w:eastAsia="Calibri" w:hAnsi="Calibri" w:cs="Calibri"/>
                <w:sz w:val="20"/>
                <w:szCs w:val="20"/>
              </w:rPr>
              <w:t>0.246</w:t>
            </w:r>
          </w:p>
        </w:tc>
      </w:tr>
      <w:tr w:rsidR="00761594" w14:paraId="572CCC53" w14:textId="77777777">
        <w:trPr>
          <w:trHeight w:val="465"/>
        </w:trPr>
        <w:tc>
          <w:tcPr>
            <w:tcW w:w="1815" w:type="dxa"/>
            <w:tcBorders>
              <w:top w:val="nil"/>
              <w:left w:val="nil"/>
              <w:bottom w:val="nil"/>
              <w:right w:val="nil"/>
            </w:tcBorders>
            <w:tcMar>
              <w:top w:w="0" w:type="dxa"/>
              <w:left w:w="100" w:type="dxa"/>
              <w:bottom w:w="0" w:type="dxa"/>
              <w:right w:w="100" w:type="dxa"/>
            </w:tcMar>
          </w:tcPr>
          <w:p w14:paraId="48C0FB86"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E7E1FC5" w14:textId="77777777" w:rsidR="00761594" w:rsidRDefault="00000000">
            <w:pPr>
              <w:rPr>
                <w:rFonts w:ascii="Calibri" w:eastAsia="Calibri" w:hAnsi="Calibri" w:cs="Calibri"/>
                <w:b/>
                <w:sz w:val="20"/>
                <w:szCs w:val="20"/>
              </w:rPr>
            </w:pPr>
            <w:r>
              <w:rPr>
                <w:rFonts w:ascii="Calibri" w:eastAsia="Calibri" w:hAnsi="Calibri" w:cs="Calibri"/>
                <w:b/>
                <w:sz w:val="20"/>
                <w:szCs w:val="20"/>
              </w:rPr>
              <w:t>Sample interval</w:t>
            </w:r>
            <w:r>
              <w:rPr>
                <w:rFonts w:ascii="Calibri" w:eastAsia="Calibri" w:hAnsi="Calibri" w:cs="Calibri"/>
                <w:sz w:val="20"/>
                <w:szCs w:val="20"/>
                <w:vertAlign w:val="subscript"/>
              </w:rPr>
              <w:t>t1-t0</w:t>
            </w:r>
          </w:p>
        </w:tc>
        <w:tc>
          <w:tcPr>
            <w:tcW w:w="1305" w:type="dxa"/>
            <w:tcBorders>
              <w:top w:val="nil"/>
              <w:left w:val="nil"/>
              <w:bottom w:val="nil"/>
              <w:right w:val="nil"/>
            </w:tcBorders>
            <w:tcMar>
              <w:top w:w="0" w:type="dxa"/>
              <w:left w:w="100" w:type="dxa"/>
              <w:bottom w:w="0" w:type="dxa"/>
              <w:right w:w="100" w:type="dxa"/>
            </w:tcMar>
          </w:tcPr>
          <w:p w14:paraId="3795851C" w14:textId="77777777" w:rsidR="00761594" w:rsidRDefault="00000000">
            <w:pPr>
              <w:rPr>
                <w:rFonts w:ascii="Calibri" w:eastAsia="Calibri" w:hAnsi="Calibri" w:cs="Calibri"/>
                <w:sz w:val="20"/>
                <w:szCs w:val="20"/>
              </w:rPr>
            </w:pPr>
            <w:r>
              <w:rPr>
                <w:rFonts w:ascii="Calibri" w:eastAsia="Calibri" w:hAnsi="Calibri" w:cs="Calibri"/>
                <w:sz w:val="20"/>
                <w:szCs w:val="20"/>
              </w:rPr>
              <w:t>-0.033</w:t>
            </w:r>
          </w:p>
        </w:tc>
        <w:tc>
          <w:tcPr>
            <w:tcW w:w="1065" w:type="dxa"/>
            <w:tcBorders>
              <w:top w:val="nil"/>
              <w:left w:val="nil"/>
              <w:bottom w:val="nil"/>
              <w:right w:val="nil"/>
            </w:tcBorders>
            <w:tcMar>
              <w:top w:w="0" w:type="dxa"/>
              <w:left w:w="100" w:type="dxa"/>
              <w:bottom w:w="0" w:type="dxa"/>
              <w:right w:w="100" w:type="dxa"/>
            </w:tcMar>
          </w:tcPr>
          <w:p w14:paraId="7E205404" w14:textId="77777777" w:rsidR="00761594" w:rsidRDefault="00000000">
            <w:pPr>
              <w:rPr>
                <w:rFonts w:ascii="Calibri" w:eastAsia="Calibri" w:hAnsi="Calibri" w:cs="Calibri"/>
                <w:sz w:val="20"/>
                <w:szCs w:val="20"/>
              </w:rPr>
            </w:pPr>
            <w:r>
              <w:rPr>
                <w:rFonts w:ascii="Calibri" w:eastAsia="Calibri" w:hAnsi="Calibri" w:cs="Calibri"/>
                <w:sz w:val="20"/>
                <w:szCs w:val="20"/>
              </w:rPr>
              <w:t>0.013</w:t>
            </w:r>
          </w:p>
        </w:tc>
        <w:tc>
          <w:tcPr>
            <w:tcW w:w="1590" w:type="dxa"/>
            <w:tcBorders>
              <w:top w:val="nil"/>
              <w:left w:val="nil"/>
              <w:bottom w:val="nil"/>
              <w:right w:val="nil"/>
            </w:tcBorders>
            <w:tcMar>
              <w:top w:w="0" w:type="dxa"/>
              <w:left w:w="100" w:type="dxa"/>
              <w:bottom w:w="0" w:type="dxa"/>
              <w:right w:w="100" w:type="dxa"/>
            </w:tcMar>
          </w:tcPr>
          <w:p w14:paraId="39441D48" w14:textId="77777777" w:rsidR="00761594" w:rsidRDefault="00000000">
            <w:pPr>
              <w:rPr>
                <w:rFonts w:ascii="Calibri" w:eastAsia="Calibri" w:hAnsi="Calibri" w:cs="Calibri"/>
                <w:sz w:val="20"/>
                <w:szCs w:val="20"/>
              </w:rPr>
            </w:pPr>
            <w:r>
              <w:rPr>
                <w:rFonts w:ascii="Calibri" w:eastAsia="Calibri" w:hAnsi="Calibri" w:cs="Calibri"/>
                <w:sz w:val="20"/>
                <w:szCs w:val="20"/>
              </w:rPr>
              <w:t>[-0.06,-0.01]</w:t>
            </w:r>
          </w:p>
        </w:tc>
        <w:tc>
          <w:tcPr>
            <w:tcW w:w="1500" w:type="dxa"/>
            <w:tcBorders>
              <w:top w:val="nil"/>
              <w:left w:val="nil"/>
              <w:bottom w:val="nil"/>
              <w:right w:val="nil"/>
            </w:tcBorders>
            <w:tcMar>
              <w:top w:w="0" w:type="dxa"/>
              <w:left w:w="100" w:type="dxa"/>
              <w:bottom w:w="0" w:type="dxa"/>
              <w:right w:w="100" w:type="dxa"/>
            </w:tcMar>
          </w:tcPr>
          <w:p w14:paraId="0524285B" w14:textId="77777777" w:rsidR="00761594" w:rsidRDefault="00000000">
            <w:pPr>
              <w:rPr>
                <w:rFonts w:ascii="Calibri" w:eastAsia="Calibri" w:hAnsi="Calibri" w:cs="Calibri"/>
                <w:b/>
                <w:sz w:val="20"/>
                <w:szCs w:val="20"/>
              </w:rPr>
            </w:pPr>
            <w:r>
              <w:rPr>
                <w:rFonts w:ascii="Calibri" w:eastAsia="Calibri" w:hAnsi="Calibri" w:cs="Calibri"/>
                <w:b/>
                <w:sz w:val="20"/>
                <w:szCs w:val="20"/>
              </w:rPr>
              <w:t>0.011</w:t>
            </w:r>
          </w:p>
        </w:tc>
      </w:tr>
      <w:tr w:rsidR="00761594" w14:paraId="5235E188" w14:textId="77777777">
        <w:trPr>
          <w:trHeight w:val="705"/>
        </w:trPr>
        <w:tc>
          <w:tcPr>
            <w:tcW w:w="1815" w:type="dxa"/>
            <w:tcBorders>
              <w:top w:val="nil"/>
              <w:left w:val="nil"/>
              <w:bottom w:val="nil"/>
              <w:right w:val="nil"/>
            </w:tcBorders>
            <w:tcMar>
              <w:top w:w="0" w:type="dxa"/>
              <w:left w:w="100" w:type="dxa"/>
              <w:bottom w:w="0" w:type="dxa"/>
              <w:right w:w="100" w:type="dxa"/>
            </w:tcMar>
          </w:tcPr>
          <w:p w14:paraId="6CA77EDD" w14:textId="77777777" w:rsidR="00761594" w:rsidRDefault="00000000">
            <w:pPr>
              <w:rPr>
                <w:rFonts w:ascii="Calibri" w:eastAsia="Calibri" w:hAnsi="Calibri" w:cs="Calibri"/>
                <w:sz w:val="20"/>
                <w:szCs w:val="20"/>
              </w:rPr>
            </w:pPr>
            <w:r>
              <w:rPr>
                <w:rFonts w:ascii="Calibri" w:eastAsia="Calibri" w:hAnsi="Calibri" w:cs="Calibri"/>
                <w:sz w:val="20"/>
                <w:szCs w:val="20"/>
              </w:rPr>
              <w:lastRenderedPageBreak/>
              <w:t xml:space="preserve"> </w:t>
            </w:r>
          </w:p>
        </w:tc>
        <w:tc>
          <w:tcPr>
            <w:tcW w:w="1860" w:type="dxa"/>
            <w:tcBorders>
              <w:top w:val="nil"/>
              <w:left w:val="nil"/>
              <w:bottom w:val="nil"/>
              <w:right w:val="nil"/>
            </w:tcBorders>
            <w:tcMar>
              <w:top w:w="0" w:type="dxa"/>
              <w:left w:w="100" w:type="dxa"/>
              <w:bottom w:w="0" w:type="dxa"/>
              <w:right w:w="100" w:type="dxa"/>
            </w:tcMar>
          </w:tcPr>
          <w:p w14:paraId="70BAE802" w14:textId="77777777" w:rsidR="00761594" w:rsidRDefault="00000000">
            <w:pPr>
              <w:rPr>
                <w:rFonts w:ascii="Calibri" w:eastAsia="Calibri" w:hAnsi="Calibri" w:cs="Calibri"/>
                <w:b/>
                <w:sz w:val="20"/>
                <w:szCs w:val="20"/>
              </w:rPr>
            </w:pPr>
            <w:r>
              <w:rPr>
                <w:rFonts w:ascii="Calibri" w:eastAsia="Calibri" w:hAnsi="Calibri" w:cs="Calibri"/>
                <w:b/>
                <w:sz w:val="20"/>
                <w:szCs w:val="20"/>
              </w:rPr>
              <w:t>log2 Neo</w:t>
            </w:r>
            <w:r>
              <w:rPr>
                <w:rFonts w:ascii="Calibri" w:eastAsia="Calibri" w:hAnsi="Calibri" w:cs="Calibri"/>
                <w:sz w:val="20"/>
                <w:szCs w:val="20"/>
                <w:vertAlign w:val="subscript"/>
              </w:rPr>
              <w:t>t0</w:t>
            </w:r>
            <w:r>
              <w:rPr>
                <w:rFonts w:ascii="Calibri" w:eastAsia="Calibri" w:hAnsi="Calibri" w:cs="Calibri"/>
                <w:b/>
                <w:sz w:val="20"/>
                <w:szCs w:val="20"/>
              </w:rPr>
              <w:t xml:space="preserve"> x sample interval</w:t>
            </w:r>
          </w:p>
        </w:tc>
        <w:tc>
          <w:tcPr>
            <w:tcW w:w="1305" w:type="dxa"/>
            <w:tcBorders>
              <w:top w:val="nil"/>
              <w:left w:val="nil"/>
              <w:bottom w:val="nil"/>
              <w:right w:val="nil"/>
            </w:tcBorders>
            <w:tcMar>
              <w:top w:w="0" w:type="dxa"/>
              <w:left w:w="100" w:type="dxa"/>
              <w:bottom w:w="0" w:type="dxa"/>
              <w:right w:w="100" w:type="dxa"/>
            </w:tcMar>
          </w:tcPr>
          <w:p w14:paraId="4D637B01" w14:textId="77777777" w:rsidR="00761594" w:rsidRDefault="00000000">
            <w:pPr>
              <w:rPr>
                <w:rFonts w:ascii="Calibri" w:eastAsia="Calibri" w:hAnsi="Calibri" w:cs="Calibri"/>
                <w:sz w:val="20"/>
                <w:szCs w:val="20"/>
              </w:rPr>
            </w:pPr>
            <w:r>
              <w:rPr>
                <w:rFonts w:ascii="Calibri" w:eastAsia="Calibri" w:hAnsi="Calibri" w:cs="Calibri"/>
                <w:sz w:val="20"/>
                <w:szCs w:val="20"/>
              </w:rPr>
              <w:t>0.003</w:t>
            </w:r>
          </w:p>
        </w:tc>
        <w:tc>
          <w:tcPr>
            <w:tcW w:w="1065" w:type="dxa"/>
            <w:tcBorders>
              <w:top w:val="nil"/>
              <w:left w:val="nil"/>
              <w:bottom w:val="nil"/>
              <w:right w:val="nil"/>
            </w:tcBorders>
            <w:tcMar>
              <w:top w:w="0" w:type="dxa"/>
              <w:left w:w="100" w:type="dxa"/>
              <w:bottom w:w="0" w:type="dxa"/>
              <w:right w:w="100" w:type="dxa"/>
            </w:tcMar>
          </w:tcPr>
          <w:p w14:paraId="7C72ACF3" w14:textId="77777777" w:rsidR="00761594" w:rsidRDefault="00000000">
            <w:pPr>
              <w:rPr>
                <w:rFonts w:ascii="Calibri" w:eastAsia="Calibri" w:hAnsi="Calibri" w:cs="Calibri"/>
                <w:sz w:val="20"/>
                <w:szCs w:val="20"/>
              </w:rPr>
            </w:pPr>
            <w:r>
              <w:rPr>
                <w:rFonts w:ascii="Calibri" w:eastAsia="Calibri" w:hAnsi="Calibri" w:cs="Calibri"/>
                <w:sz w:val="20"/>
                <w:szCs w:val="20"/>
              </w:rPr>
              <w:t>0.001</w:t>
            </w:r>
          </w:p>
        </w:tc>
        <w:tc>
          <w:tcPr>
            <w:tcW w:w="1590" w:type="dxa"/>
            <w:tcBorders>
              <w:top w:val="nil"/>
              <w:left w:val="nil"/>
              <w:bottom w:val="nil"/>
              <w:right w:val="nil"/>
            </w:tcBorders>
            <w:tcMar>
              <w:top w:w="0" w:type="dxa"/>
              <w:left w:w="100" w:type="dxa"/>
              <w:bottom w:w="0" w:type="dxa"/>
              <w:right w:w="100" w:type="dxa"/>
            </w:tcMar>
          </w:tcPr>
          <w:p w14:paraId="5661F371" w14:textId="77777777" w:rsidR="00761594" w:rsidRDefault="00000000">
            <w:pPr>
              <w:rPr>
                <w:rFonts w:ascii="Calibri" w:eastAsia="Calibri" w:hAnsi="Calibri" w:cs="Calibri"/>
                <w:sz w:val="20"/>
                <w:szCs w:val="20"/>
              </w:rPr>
            </w:pPr>
            <w:r>
              <w:rPr>
                <w:rFonts w:ascii="Calibri" w:eastAsia="Calibri" w:hAnsi="Calibri" w:cs="Calibri"/>
                <w:sz w:val="20"/>
                <w:szCs w:val="20"/>
              </w:rPr>
              <w:t>[0,0.01]</w:t>
            </w:r>
          </w:p>
        </w:tc>
        <w:tc>
          <w:tcPr>
            <w:tcW w:w="1500" w:type="dxa"/>
            <w:tcBorders>
              <w:top w:val="nil"/>
              <w:left w:val="nil"/>
              <w:bottom w:val="nil"/>
              <w:right w:val="nil"/>
            </w:tcBorders>
            <w:tcMar>
              <w:top w:w="0" w:type="dxa"/>
              <w:left w:w="100" w:type="dxa"/>
              <w:bottom w:w="0" w:type="dxa"/>
              <w:right w:w="100" w:type="dxa"/>
            </w:tcMar>
          </w:tcPr>
          <w:p w14:paraId="06C517FC" w14:textId="77777777" w:rsidR="00761594" w:rsidRDefault="00000000">
            <w:pPr>
              <w:rPr>
                <w:rFonts w:ascii="Calibri" w:eastAsia="Calibri" w:hAnsi="Calibri" w:cs="Calibri"/>
                <w:b/>
                <w:sz w:val="20"/>
                <w:szCs w:val="20"/>
              </w:rPr>
            </w:pPr>
            <w:r>
              <w:rPr>
                <w:rFonts w:ascii="Calibri" w:eastAsia="Calibri" w:hAnsi="Calibri" w:cs="Calibri"/>
                <w:b/>
                <w:sz w:val="20"/>
                <w:szCs w:val="20"/>
              </w:rPr>
              <w:t>0.023</w:t>
            </w:r>
          </w:p>
        </w:tc>
      </w:tr>
      <w:tr w:rsidR="00761594" w14:paraId="5ED714FB" w14:textId="77777777">
        <w:trPr>
          <w:trHeight w:val="705"/>
        </w:trPr>
        <w:tc>
          <w:tcPr>
            <w:tcW w:w="1815" w:type="dxa"/>
            <w:tcBorders>
              <w:top w:val="nil"/>
              <w:left w:val="nil"/>
              <w:bottom w:val="single" w:sz="6" w:space="0" w:color="000000"/>
              <w:right w:val="nil"/>
            </w:tcBorders>
            <w:tcMar>
              <w:top w:w="0" w:type="dxa"/>
              <w:left w:w="100" w:type="dxa"/>
              <w:bottom w:w="0" w:type="dxa"/>
              <w:right w:w="100" w:type="dxa"/>
            </w:tcMar>
          </w:tcPr>
          <w:p w14:paraId="781A0714"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198E80F4" w14:textId="77777777" w:rsidR="00761594" w:rsidRDefault="00000000">
            <w:pPr>
              <w:rPr>
                <w:rFonts w:ascii="Calibri" w:eastAsia="Calibri" w:hAnsi="Calibri" w:cs="Calibri"/>
                <w:sz w:val="20"/>
                <w:szCs w:val="20"/>
              </w:rPr>
            </w:pPr>
            <w:r>
              <w:rPr>
                <w:rFonts w:ascii="Calibri" w:eastAsia="Calibri" w:hAnsi="Calibri" w:cs="Calibri"/>
                <w:sz w:val="20"/>
                <w:szCs w:val="20"/>
              </w:rPr>
              <w:t>log2 CP</w:t>
            </w:r>
            <w:r>
              <w:rPr>
                <w:rFonts w:ascii="Calibri" w:eastAsia="Calibri" w:hAnsi="Calibri" w:cs="Calibri"/>
                <w:sz w:val="20"/>
                <w:szCs w:val="20"/>
                <w:vertAlign w:val="subscript"/>
              </w:rPr>
              <w:t>t0</w:t>
            </w:r>
            <w:r>
              <w:rPr>
                <w:rFonts w:ascii="Calibri" w:eastAsia="Calibri" w:hAnsi="Calibri" w:cs="Calibri"/>
                <w:sz w:val="20"/>
                <w:szCs w:val="20"/>
              </w:rPr>
              <w:t xml:space="preserve"> x sample interval</w:t>
            </w:r>
          </w:p>
        </w:tc>
        <w:tc>
          <w:tcPr>
            <w:tcW w:w="1305" w:type="dxa"/>
            <w:tcBorders>
              <w:top w:val="nil"/>
              <w:left w:val="nil"/>
              <w:bottom w:val="single" w:sz="6" w:space="0" w:color="000000"/>
              <w:right w:val="nil"/>
            </w:tcBorders>
            <w:tcMar>
              <w:top w:w="0" w:type="dxa"/>
              <w:left w:w="100" w:type="dxa"/>
              <w:bottom w:w="0" w:type="dxa"/>
              <w:right w:w="100" w:type="dxa"/>
            </w:tcMar>
          </w:tcPr>
          <w:p w14:paraId="0AF5DFB2" w14:textId="77777777" w:rsidR="00761594" w:rsidRDefault="00000000">
            <w:pPr>
              <w:rPr>
                <w:rFonts w:ascii="Calibri" w:eastAsia="Calibri" w:hAnsi="Calibri" w:cs="Calibri"/>
                <w:sz w:val="20"/>
                <w:szCs w:val="20"/>
              </w:rPr>
            </w:pPr>
            <w:r>
              <w:rPr>
                <w:rFonts w:ascii="Calibri" w:eastAsia="Calibri" w:hAnsi="Calibri" w:cs="Calibri"/>
                <w:sz w:val="20"/>
                <w:szCs w:val="20"/>
              </w:rPr>
              <w:t>0.001</w:t>
            </w:r>
          </w:p>
        </w:tc>
        <w:tc>
          <w:tcPr>
            <w:tcW w:w="1065" w:type="dxa"/>
            <w:tcBorders>
              <w:top w:val="nil"/>
              <w:left w:val="nil"/>
              <w:bottom w:val="single" w:sz="6" w:space="0" w:color="000000"/>
              <w:right w:val="nil"/>
            </w:tcBorders>
            <w:tcMar>
              <w:top w:w="0" w:type="dxa"/>
              <w:left w:w="100" w:type="dxa"/>
              <w:bottom w:w="0" w:type="dxa"/>
              <w:right w:w="100" w:type="dxa"/>
            </w:tcMar>
          </w:tcPr>
          <w:p w14:paraId="159354FB" w14:textId="77777777" w:rsidR="00761594" w:rsidRDefault="00000000">
            <w:pPr>
              <w:rPr>
                <w:rFonts w:ascii="Calibri" w:eastAsia="Calibri" w:hAnsi="Calibri" w:cs="Calibri"/>
                <w:sz w:val="20"/>
                <w:szCs w:val="20"/>
              </w:rPr>
            </w:pPr>
            <w:r>
              <w:rPr>
                <w:rFonts w:ascii="Calibri" w:eastAsia="Calibri" w:hAnsi="Calibri" w:cs="Calibri"/>
                <w:sz w:val="20"/>
                <w:szCs w:val="20"/>
              </w:rPr>
              <w:t>0.001</w:t>
            </w:r>
          </w:p>
        </w:tc>
        <w:tc>
          <w:tcPr>
            <w:tcW w:w="1590" w:type="dxa"/>
            <w:tcBorders>
              <w:top w:val="nil"/>
              <w:left w:val="nil"/>
              <w:bottom w:val="single" w:sz="6" w:space="0" w:color="000000"/>
              <w:right w:val="nil"/>
            </w:tcBorders>
            <w:tcMar>
              <w:top w:w="0" w:type="dxa"/>
              <w:left w:w="100" w:type="dxa"/>
              <w:bottom w:w="0" w:type="dxa"/>
              <w:right w:w="100" w:type="dxa"/>
            </w:tcMar>
          </w:tcPr>
          <w:p w14:paraId="502FE631" w14:textId="77777777" w:rsidR="00761594" w:rsidRDefault="00000000">
            <w:pPr>
              <w:rPr>
                <w:rFonts w:ascii="Calibri" w:eastAsia="Calibri" w:hAnsi="Calibri" w:cs="Calibri"/>
                <w:sz w:val="20"/>
                <w:szCs w:val="20"/>
              </w:rPr>
            </w:pPr>
            <w:r>
              <w:rPr>
                <w:rFonts w:ascii="Calibri" w:eastAsia="Calibri" w:hAnsi="Calibri" w:cs="Calibri"/>
                <w:sz w:val="20"/>
                <w:szCs w:val="20"/>
              </w:rPr>
              <w:t>[0,0]</w:t>
            </w:r>
          </w:p>
        </w:tc>
        <w:tc>
          <w:tcPr>
            <w:tcW w:w="1500" w:type="dxa"/>
            <w:tcBorders>
              <w:top w:val="nil"/>
              <w:left w:val="nil"/>
              <w:bottom w:val="single" w:sz="6" w:space="0" w:color="000000"/>
              <w:right w:val="nil"/>
            </w:tcBorders>
            <w:tcMar>
              <w:top w:w="0" w:type="dxa"/>
              <w:left w:w="100" w:type="dxa"/>
              <w:bottom w:w="0" w:type="dxa"/>
              <w:right w:w="100" w:type="dxa"/>
            </w:tcMar>
          </w:tcPr>
          <w:p w14:paraId="589ECACE" w14:textId="77777777" w:rsidR="00761594" w:rsidRDefault="00000000">
            <w:pPr>
              <w:rPr>
                <w:rFonts w:ascii="Calibri" w:eastAsia="Calibri" w:hAnsi="Calibri" w:cs="Calibri"/>
                <w:sz w:val="20"/>
                <w:szCs w:val="20"/>
              </w:rPr>
            </w:pPr>
            <w:r>
              <w:rPr>
                <w:rFonts w:ascii="Calibri" w:eastAsia="Calibri" w:hAnsi="Calibri" w:cs="Calibri"/>
                <w:sz w:val="20"/>
                <w:szCs w:val="20"/>
              </w:rPr>
              <w:t>0.271</w:t>
            </w:r>
          </w:p>
        </w:tc>
      </w:tr>
    </w:tbl>
    <w:p w14:paraId="7C4CBA58" w14:textId="77777777" w:rsidR="00761594" w:rsidRDefault="00761594">
      <w:pPr>
        <w:rPr>
          <w:rFonts w:ascii="Calibri" w:eastAsia="Calibri" w:hAnsi="Calibri" w:cs="Calibri"/>
        </w:rPr>
      </w:pPr>
    </w:p>
    <w:p w14:paraId="2695C804" w14:textId="77777777" w:rsidR="00761594" w:rsidRDefault="00000000">
      <w:pPr>
        <w:numPr>
          <w:ilvl w:val="0"/>
          <w:numId w:val="1"/>
        </w:numPr>
        <w:rPr>
          <w:rFonts w:ascii="Calibri" w:eastAsia="Calibri" w:hAnsi="Calibri" w:cs="Calibri"/>
          <w:i/>
        </w:rPr>
      </w:pPr>
      <w:r>
        <w:rPr>
          <w:rFonts w:ascii="Calibri" w:eastAsia="Calibri" w:hAnsi="Calibri" w:cs="Calibri"/>
          <w:i/>
        </w:rPr>
        <w:t>Constraints on immune activity</w:t>
      </w:r>
    </w:p>
    <w:p w14:paraId="5B2719A4" w14:textId="15F700DD" w:rsidR="00761594" w:rsidRDefault="00000000">
      <w:pPr>
        <w:rPr>
          <w:rFonts w:ascii="Calibri" w:eastAsia="Calibri" w:hAnsi="Calibri" w:cs="Calibri"/>
        </w:rPr>
      </w:pPr>
      <w:r>
        <w:rPr>
          <w:rFonts w:ascii="Calibri" w:eastAsia="Calibri" w:hAnsi="Calibri" w:cs="Calibri"/>
        </w:rPr>
        <w:t xml:space="preserve">We found that both energy balance and estimated lean body mass had strong positive relationships with neopterin, independently of subject age, sex, maternal rank, and potential pathogen exposure (Figs 3A &amp; B, Table 4). None of these control variables demonstrated a relationship with average neopterin concentrations. </w:t>
      </w:r>
      <w:r w:rsidR="004435CC" w:rsidRPr="004435CC">
        <w:rPr>
          <w:rFonts w:ascii="Calibri" w:eastAsia="Calibri" w:hAnsi="Calibri" w:cs="Calibri"/>
          <w:color w:val="0070C0"/>
        </w:rPr>
        <w:t xml:space="preserve">The positive relationship between neopterin and energy balance, and neopterin and lean body mass, were present in </w:t>
      </w:r>
      <w:r w:rsidR="001E12B6">
        <w:rPr>
          <w:rFonts w:ascii="Calibri" w:eastAsia="Calibri" w:hAnsi="Calibri" w:cs="Calibri"/>
          <w:color w:val="0070C0"/>
        </w:rPr>
        <w:t>most</w:t>
      </w:r>
      <w:r w:rsidR="004435CC" w:rsidRPr="004435CC">
        <w:rPr>
          <w:rFonts w:ascii="Calibri" w:eastAsia="Calibri" w:hAnsi="Calibri" w:cs="Calibri"/>
          <w:color w:val="0070C0"/>
        </w:rPr>
        <w:t xml:space="preserve"> within individual analyses,</w:t>
      </w:r>
      <w:r w:rsidR="001E12B6">
        <w:rPr>
          <w:rFonts w:ascii="Calibri" w:eastAsia="Calibri" w:hAnsi="Calibri" w:cs="Calibri"/>
          <w:color w:val="0070C0"/>
        </w:rPr>
        <w:t xml:space="preserve"> </w:t>
      </w:r>
      <w:r w:rsidR="001E12B6" w:rsidRPr="004435CC">
        <w:rPr>
          <w:rFonts w:ascii="Calibri" w:eastAsia="Calibri" w:hAnsi="Calibri" w:cs="Calibri"/>
          <w:color w:val="0070C0"/>
        </w:rPr>
        <w:t>30 and 33 of 41</w:t>
      </w:r>
      <w:r w:rsidR="004435CC" w:rsidRPr="004435CC">
        <w:rPr>
          <w:rFonts w:ascii="Calibri" w:eastAsia="Calibri" w:hAnsi="Calibri" w:cs="Calibri"/>
          <w:color w:val="0070C0"/>
        </w:rPr>
        <w:t xml:space="preserve"> respectively,</w:t>
      </w:r>
      <w:r w:rsidR="001E12B6">
        <w:rPr>
          <w:rFonts w:ascii="Calibri" w:eastAsia="Calibri" w:hAnsi="Calibri" w:cs="Calibri"/>
          <w:color w:val="0070C0"/>
        </w:rPr>
        <w:t xml:space="preserve"> where</w:t>
      </w:r>
      <w:r w:rsidR="004435CC" w:rsidRPr="004435CC">
        <w:rPr>
          <w:rFonts w:ascii="Calibri" w:eastAsia="Calibri" w:hAnsi="Calibri" w:cs="Calibri"/>
          <w:color w:val="0070C0"/>
        </w:rPr>
        <w:t xml:space="preserve"> </w:t>
      </w:r>
      <w:r w:rsidR="001E12B6">
        <w:rPr>
          <w:rFonts w:ascii="Calibri" w:eastAsia="Calibri" w:hAnsi="Calibri" w:cs="Calibri"/>
          <w:color w:val="0070C0"/>
        </w:rPr>
        <w:t>the</w:t>
      </w:r>
      <w:r w:rsidR="004435CC" w:rsidRPr="004435CC">
        <w:rPr>
          <w:rFonts w:ascii="Calibri" w:eastAsia="Calibri" w:hAnsi="Calibri" w:cs="Calibri"/>
          <w:color w:val="0070C0"/>
        </w:rPr>
        <w:t xml:space="preserve"> mean slope</w:t>
      </w:r>
      <w:r w:rsidR="001E12B6">
        <w:rPr>
          <w:rFonts w:ascii="Calibri" w:eastAsia="Calibri" w:hAnsi="Calibri" w:cs="Calibri"/>
          <w:color w:val="0070C0"/>
        </w:rPr>
        <w:t>s</w:t>
      </w:r>
      <w:r w:rsidR="004435CC" w:rsidRPr="004435CC">
        <w:rPr>
          <w:rFonts w:ascii="Calibri" w:eastAsia="Calibri" w:hAnsi="Calibri" w:cs="Calibri"/>
          <w:color w:val="0070C0"/>
        </w:rPr>
        <w:t xml:space="preserve"> and </w:t>
      </w:r>
      <w:r w:rsidR="001E12B6">
        <w:rPr>
          <w:rFonts w:ascii="Calibri" w:eastAsia="Calibri" w:hAnsi="Calibri" w:cs="Calibri"/>
          <w:color w:val="0070C0"/>
        </w:rPr>
        <w:t xml:space="preserve">their </w:t>
      </w:r>
      <w:r w:rsidR="004435CC" w:rsidRPr="004435CC">
        <w:rPr>
          <w:rFonts w:ascii="Calibri" w:eastAsia="Calibri" w:hAnsi="Calibri" w:cs="Calibri"/>
          <w:color w:val="0070C0"/>
        </w:rPr>
        <w:t>mean standard error</w:t>
      </w:r>
      <w:r w:rsidR="001E12B6">
        <w:rPr>
          <w:rFonts w:ascii="Calibri" w:eastAsia="Calibri" w:hAnsi="Calibri" w:cs="Calibri"/>
          <w:color w:val="0070C0"/>
        </w:rPr>
        <w:t>s</w:t>
      </w:r>
      <w:r w:rsidR="004435CC" w:rsidRPr="004435CC">
        <w:rPr>
          <w:rFonts w:ascii="Calibri" w:eastAsia="Calibri" w:hAnsi="Calibri" w:cs="Calibri"/>
          <w:color w:val="0070C0"/>
        </w:rPr>
        <w:t xml:space="preserve"> </w:t>
      </w:r>
      <w:r w:rsidR="001E12B6">
        <w:rPr>
          <w:rFonts w:ascii="Calibri" w:eastAsia="Calibri" w:hAnsi="Calibri" w:cs="Calibri"/>
          <w:color w:val="0070C0"/>
        </w:rPr>
        <w:t>were</w:t>
      </w:r>
      <w:r w:rsidR="004435CC" w:rsidRPr="004435CC">
        <w:rPr>
          <w:rFonts w:ascii="Calibri" w:eastAsia="Calibri" w:hAnsi="Calibri" w:cs="Calibri"/>
          <w:color w:val="0070C0"/>
        </w:rPr>
        <w:t xml:space="preserve"> 0.16 ± 0.33 and 1.8 ± 1.8. </w:t>
      </w:r>
      <w:r>
        <w:rPr>
          <w:rFonts w:ascii="Calibri" w:eastAsia="Calibri" w:hAnsi="Calibri" w:cs="Calibri"/>
        </w:rPr>
        <w:t xml:space="preserve">Mediation analysis revealed that </w:t>
      </w:r>
      <w:r w:rsidR="003B4E97">
        <w:rPr>
          <w:rFonts w:ascii="Calibri" w:eastAsia="Calibri" w:hAnsi="Calibri" w:cs="Calibri"/>
        </w:rPr>
        <w:t>most of</w:t>
      </w:r>
      <w:r>
        <w:rPr>
          <w:rFonts w:ascii="Calibri" w:eastAsia="Calibri" w:hAnsi="Calibri" w:cs="Calibri"/>
        </w:rPr>
        <w:t xml:space="preserve"> the total effect of uCP on neopterin was accounted for by their direct relationship. Only 5% (95% CI 0.1-14%) of variation in average neopterin concentrations was accounted for by glucocorticoids, suggesting a weak mediating role of the anti-inflammatory effects of GC secretion during states of low energy balance (Table S3).</w:t>
      </w:r>
    </w:p>
    <w:p w14:paraId="060FA0C4" w14:textId="77777777" w:rsidR="00761594" w:rsidRDefault="00761594">
      <w:pPr>
        <w:rPr>
          <w:rFonts w:ascii="Calibri" w:eastAsia="Calibri" w:hAnsi="Calibri" w:cs="Calibri"/>
        </w:rPr>
      </w:pPr>
    </w:p>
    <w:p w14:paraId="2097402B" w14:textId="77777777" w:rsidR="00761594" w:rsidRDefault="00000000">
      <w:pPr>
        <w:rPr>
          <w:rFonts w:ascii="Calibri" w:eastAsia="Calibri" w:hAnsi="Calibri" w:cs="Calibri"/>
        </w:rPr>
      </w:pPr>
      <w:r>
        <w:rPr>
          <w:rFonts w:ascii="Calibri" w:eastAsia="Calibri" w:hAnsi="Calibri" w:cs="Calibri"/>
          <w:noProof/>
        </w:rPr>
        <w:drawing>
          <wp:inline distT="114300" distB="114300" distL="114300" distR="114300" wp14:anchorId="5B44CB5E" wp14:editId="793ACC5B">
            <wp:extent cx="6400800" cy="254274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6"/>
                    <a:srcRect/>
                    <a:stretch>
                      <a:fillRect/>
                    </a:stretch>
                  </pic:blipFill>
                  <pic:spPr>
                    <a:xfrm>
                      <a:off x="0" y="0"/>
                      <a:ext cx="6400800" cy="2542747"/>
                    </a:xfrm>
                    <a:prstGeom prst="rect">
                      <a:avLst/>
                    </a:prstGeom>
                    <a:ln/>
                  </pic:spPr>
                </pic:pic>
              </a:graphicData>
            </a:graphic>
          </wp:inline>
        </w:drawing>
      </w:r>
    </w:p>
    <w:p w14:paraId="6585779A" w14:textId="77777777" w:rsidR="00761594" w:rsidRDefault="00000000">
      <w:pPr>
        <w:rPr>
          <w:rFonts w:ascii="Calibri" w:eastAsia="Calibri" w:hAnsi="Calibri" w:cs="Calibri"/>
        </w:rPr>
      </w:pPr>
      <w:r>
        <w:rPr>
          <w:rFonts w:ascii="Calibri" w:eastAsia="Calibri" w:hAnsi="Calibri" w:cs="Calibri"/>
          <w:b/>
        </w:rPr>
        <w:t xml:space="preserve">Figure 3. </w:t>
      </w:r>
      <w:r>
        <w:rPr>
          <w:rFonts w:ascii="Calibri" w:eastAsia="Calibri" w:hAnsi="Calibri" w:cs="Calibri"/>
        </w:rPr>
        <w:t xml:space="preserve"> A)</w:t>
      </w:r>
      <w:r>
        <w:rPr>
          <w:rFonts w:ascii="Calibri" w:eastAsia="Calibri" w:hAnsi="Calibri" w:cs="Calibri"/>
          <w:b/>
        </w:rPr>
        <w:t xml:space="preserve"> </w:t>
      </w:r>
      <w:r>
        <w:rPr>
          <w:rFonts w:ascii="Calibri" w:eastAsia="Calibri" w:hAnsi="Calibri" w:cs="Calibri"/>
        </w:rPr>
        <w:t>Increase in cellular immune activity (neopterin ng/ml) with estimated lean body mass (monthly average Creatinine-SG residual). B) Increase in cellular immune activity with energy balance (monthly average C-peptide ng/ml). Results using  LMM, n = 293. Points indicate subject-month values for males (blue) and females (red).</w:t>
      </w:r>
    </w:p>
    <w:p w14:paraId="4C4A41CF" w14:textId="77777777" w:rsidR="00761594" w:rsidRDefault="00761594">
      <w:pPr>
        <w:rPr>
          <w:rFonts w:ascii="Calibri" w:eastAsia="Calibri" w:hAnsi="Calibri" w:cs="Calibri"/>
        </w:rPr>
      </w:pPr>
    </w:p>
    <w:p w14:paraId="57CB8D7F" w14:textId="77777777" w:rsidR="00761594" w:rsidRDefault="00000000">
      <w:pPr>
        <w:rPr>
          <w:rFonts w:ascii="Calibri" w:eastAsia="Calibri" w:hAnsi="Calibri" w:cs="Calibri"/>
        </w:rPr>
      </w:pPr>
      <w:r>
        <w:rPr>
          <w:rFonts w:ascii="Calibri" w:eastAsia="Calibri" w:hAnsi="Calibri" w:cs="Calibri"/>
          <w:b/>
        </w:rPr>
        <w:t xml:space="preserve">Table 4. </w:t>
      </w:r>
      <w:r>
        <w:rPr>
          <w:rFonts w:ascii="Calibri" w:eastAsia="Calibri" w:hAnsi="Calibri" w:cs="Calibri"/>
        </w:rPr>
        <w:t>Constraints and drivers of cellular immune activity: results of LMM, n = 293 subject months.</w:t>
      </w:r>
    </w:p>
    <w:tbl>
      <w:tblPr>
        <w:tblStyle w:val="a2"/>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1755"/>
        <w:gridCol w:w="1245"/>
        <w:gridCol w:w="855"/>
        <w:gridCol w:w="1575"/>
        <w:gridCol w:w="1500"/>
      </w:tblGrid>
      <w:tr w:rsidR="00761594" w14:paraId="492CD34F" w14:textId="77777777">
        <w:trPr>
          <w:trHeight w:val="255"/>
        </w:trPr>
        <w:tc>
          <w:tcPr>
            <w:tcW w:w="2205" w:type="dxa"/>
            <w:tcBorders>
              <w:top w:val="single" w:sz="6" w:space="0" w:color="000000"/>
              <w:left w:val="nil"/>
              <w:bottom w:val="single" w:sz="6" w:space="0" w:color="000000"/>
              <w:right w:val="nil"/>
            </w:tcBorders>
            <w:tcMar>
              <w:top w:w="0" w:type="dxa"/>
              <w:left w:w="100" w:type="dxa"/>
              <w:bottom w:w="0" w:type="dxa"/>
              <w:right w:w="100" w:type="dxa"/>
            </w:tcMar>
          </w:tcPr>
          <w:p w14:paraId="37001F2C" w14:textId="77777777" w:rsidR="00761594" w:rsidRDefault="00000000">
            <w:pPr>
              <w:rPr>
                <w:rFonts w:ascii="Calibri" w:eastAsia="Calibri" w:hAnsi="Calibri" w:cs="Calibri"/>
                <w:b/>
                <w:sz w:val="20"/>
                <w:szCs w:val="20"/>
              </w:rPr>
            </w:pPr>
            <w:r>
              <w:rPr>
                <w:rFonts w:ascii="Calibri" w:eastAsia="Calibri" w:hAnsi="Calibri" w:cs="Calibri"/>
                <w:b/>
                <w:sz w:val="20"/>
                <w:szCs w:val="20"/>
              </w:rPr>
              <w:t>Response</w:t>
            </w:r>
          </w:p>
        </w:tc>
        <w:tc>
          <w:tcPr>
            <w:tcW w:w="1755" w:type="dxa"/>
            <w:tcBorders>
              <w:top w:val="single" w:sz="6" w:space="0" w:color="000000"/>
              <w:left w:val="nil"/>
              <w:bottom w:val="single" w:sz="6" w:space="0" w:color="000000"/>
              <w:right w:val="nil"/>
            </w:tcBorders>
            <w:tcMar>
              <w:top w:w="0" w:type="dxa"/>
              <w:left w:w="100" w:type="dxa"/>
              <w:bottom w:w="0" w:type="dxa"/>
              <w:right w:w="100" w:type="dxa"/>
            </w:tcMar>
          </w:tcPr>
          <w:p w14:paraId="1AB8B341" w14:textId="77777777" w:rsidR="00761594" w:rsidRDefault="00000000">
            <w:pPr>
              <w:rPr>
                <w:rFonts w:ascii="Calibri" w:eastAsia="Calibri" w:hAnsi="Calibri" w:cs="Calibri"/>
                <w:b/>
                <w:sz w:val="20"/>
                <w:szCs w:val="20"/>
              </w:rPr>
            </w:pPr>
            <w:r>
              <w:rPr>
                <w:rFonts w:ascii="Calibri" w:eastAsia="Calibri" w:hAnsi="Calibri" w:cs="Calibri"/>
                <w:b/>
                <w:sz w:val="20"/>
                <w:szCs w:val="20"/>
              </w:rPr>
              <w:t>Predictor</w:t>
            </w:r>
          </w:p>
        </w:tc>
        <w:tc>
          <w:tcPr>
            <w:tcW w:w="1245" w:type="dxa"/>
            <w:tcBorders>
              <w:top w:val="single" w:sz="6" w:space="0" w:color="000000"/>
              <w:left w:val="nil"/>
              <w:bottom w:val="single" w:sz="6" w:space="0" w:color="000000"/>
              <w:right w:val="nil"/>
            </w:tcBorders>
            <w:tcMar>
              <w:top w:w="0" w:type="dxa"/>
              <w:left w:w="100" w:type="dxa"/>
              <w:bottom w:w="0" w:type="dxa"/>
              <w:right w:w="100" w:type="dxa"/>
            </w:tcMar>
          </w:tcPr>
          <w:p w14:paraId="3AC1770A" w14:textId="77777777" w:rsidR="00761594" w:rsidRDefault="00000000">
            <w:pPr>
              <w:rPr>
                <w:rFonts w:ascii="Calibri" w:eastAsia="Calibri" w:hAnsi="Calibri" w:cs="Calibri"/>
                <w:b/>
                <w:sz w:val="20"/>
                <w:szCs w:val="20"/>
              </w:rPr>
            </w:pPr>
            <w:r>
              <w:rPr>
                <w:rFonts w:ascii="Calibri" w:eastAsia="Calibri" w:hAnsi="Calibri" w:cs="Calibri"/>
                <w:b/>
                <w:sz w:val="20"/>
                <w:szCs w:val="20"/>
              </w:rPr>
              <w:t>Estimate</w:t>
            </w:r>
          </w:p>
        </w:tc>
        <w:tc>
          <w:tcPr>
            <w:tcW w:w="855" w:type="dxa"/>
            <w:tcBorders>
              <w:top w:val="single" w:sz="6" w:space="0" w:color="000000"/>
              <w:left w:val="nil"/>
              <w:bottom w:val="single" w:sz="6" w:space="0" w:color="000000"/>
              <w:right w:val="nil"/>
            </w:tcBorders>
            <w:tcMar>
              <w:top w:w="0" w:type="dxa"/>
              <w:left w:w="100" w:type="dxa"/>
              <w:bottom w:w="0" w:type="dxa"/>
              <w:right w:w="100" w:type="dxa"/>
            </w:tcMar>
          </w:tcPr>
          <w:p w14:paraId="2B009DD7" w14:textId="77777777" w:rsidR="00761594" w:rsidRDefault="00000000">
            <w:pPr>
              <w:rPr>
                <w:rFonts w:ascii="Calibri" w:eastAsia="Calibri" w:hAnsi="Calibri" w:cs="Calibri"/>
                <w:b/>
                <w:sz w:val="20"/>
                <w:szCs w:val="20"/>
              </w:rPr>
            </w:pPr>
            <w:r>
              <w:rPr>
                <w:rFonts w:ascii="Calibri" w:eastAsia="Calibri" w:hAnsi="Calibri" w:cs="Calibri"/>
                <w:b/>
                <w:sz w:val="20"/>
                <w:szCs w:val="20"/>
              </w:rPr>
              <w:t>SE</w:t>
            </w:r>
          </w:p>
        </w:tc>
        <w:tc>
          <w:tcPr>
            <w:tcW w:w="1575" w:type="dxa"/>
            <w:tcBorders>
              <w:top w:val="single" w:sz="6" w:space="0" w:color="000000"/>
              <w:left w:val="nil"/>
              <w:bottom w:val="single" w:sz="6" w:space="0" w:color="000000"/>
              <w:right w:val="nil"/>
            </w:tcBorders>
            <w:tcMar>
              <w:top w:w="0" w:type="dxa"/>
              <w:left w:w="100" w:type="dxa"/>
              <w:bottom w:w="0" w:type="dxa"/>
              <w:right w:w="100" w:type="dxa"/>
            </w:tcMar>
          </w:tcPr>
          <w:p w14:paraId="51B40776" w14:textId="77777777" w:rsidR="00761594" w:rsidRDefault="00000000">
            <w:pPr>
              <w:rPr>
                <w:rFonts w:ascii="Calibri" w:eastAsia="Calibri" w:hAnsi="Calibri" w:cs="Calibri"/>
                <w:b/>
                <w:sz w:val="20"/>
                <w:szCs w:val="20"/>
              </w:rPr>
            </w:pPr>
            <w:r>
              <w:rPr>
                <w:rFonts w:ascii="Calibri" w:eastAsia="Calibri" w:hAnsi="Calibri" w:cs="Calibri"/>
                <w:b/>
                <w:sz w:val="20"/>
                <w:szCs w:val="20"/>
              </w:rPr>
              <w:t>CI</w:t>
            </w:r>
          </w:p>
        </w:tc>
        <w:tc>
          <w:tcPr>
            <w:tcW w:w="1500" w:type="dxa"/>
            <w:tcBorders>
              <w:top w:val="single" w:sz="6" w:space="0" w:color="000000"/>
              <w:left w:val="nil"/>
              <w:bottom w:val="single" w:sz="6" w:space="0" w:color="000000"/>
              <w:right w:val="nil"/>
            </w:tcBorders>
            <w:tcMar>
              <w:top w:w="0" w:type="dxa"/>
              <w:left w:w="100" w:type="dxa"/>
              <w:bottom w:w="0" w:type="dxa"/>
              <w:right w:w="100" w:type="dxa"/>
            </w:tcMar>
          </w:tcPr>
          <w:p w14:paraId="028F2937" w14:textId="77777777" w:rsidR="00761594" w:rsidRDefault="00000000">
            <w:pPr>
              <w:rPr>
                <w:rFonts w:ascii="Calibri" w:eastAsia="Calibri" w:hAnsi="Calibri" w:cs="Calibri"/>
                <w:b/>
                <w:sz w:val="20"/>
                <w:szCs w:val="20"/>
              </w:rPr>
            </w:pPr>
            <w:r>
              <w:rPr>
                <w:rFonts w:ascii="Calibri" w:eastAsia="Calibri" w:hAnsi="Calibri" w:cs="Calibri"/>
                <w:b/>
                <w:sz w:val="20"/>
                <w:szCs w:val="20"/>
              </w:rPr>
              <w:t>p_value</w:t>
            </w:r>
          </w:p>
        </w:tc>
      </w:tr>
      <w:tr w:rsidR="00761594" w14:paraId="2DCE35CF" w14:textId="77777777">
        <w:trPr>
          <w:trHeight w:val="240"/>
        </w:trPr>
        <w:tc>
          <w:tcPr>
            <w:tcW w:w="2205" w:type="dxa"/>
            <w:tcBorders>
              <w:top w:val="nil"/>
              <w:left w:val="nil"/>
              <w:bottom w:val="nil"/>
              <w:right w:val="nil"/>
            </w:tcBorders>
            <w:tcMar>
              <w:top w:w="0" w:type="dxa"/>
              <w:left w:w="100" w:type="dxa"/>
              <w:bottom w:w="0" w:type="dxa"/>
              <w:right w:w="100" w:type="dxa"/>
            </w:tcMar>
          </w:tcPr>
          <w:p w14:paraId="57B35D9C" w14:textId="77777777" w:rsidR="00761594" w:rsidRDefault="00000000">
            <w:pPr>
              <w:rPr>
                <w:rFonts w:ascii="Calibri" w:eastAsia="Calibri" w:hAnsi="Calibri" w:cs="Calibri"/>
                <w:sz w:val="20"/>
                <w:szCs w:val="20"/>
                <w:vertAlign w:val="subscript"/>
              </w:rPr>
            </w:pPr>
            <w:r>
              <w:rPr>
                <w:rFonts w:ascii="Calibri" w:eastAsia="Calibri" w:hAnsi="Calibri" w:cs="Calibri"/>
                <w:sz w:val="20"/>
                <w:szCs w:val="20"/>
              </w:rPr>
              <w:t>Avg. Neopterin</w:t>
            </w:r>
          </w:p>
        </w:tc>
        <w:tc>
          <w:tcPr>
            <w:tcW w:w="1755" w:type="dxa"/>
            <w:tcBorders>
              <w:top w:val="nil"/>
              <w:left w:val="nil"/>
              <w:bottom w:val="nil"/>
              <w:right w:val="nil"/>
            </w:tcBorders>
            <w:tcMar>
              <w:top w:w="0" w:type="dxa"/>
              <w:left w:w="100" w:type="dxa"/>
              <w:bottom w:w="0" w:type="dxa"/>
              <w:right w:w="100" w:type="dxa"/>
            </w:tcMar>
          </w:tcPr>
          <w:p w14:paraId="171B0756" w14:textId="77777777" w:rsidR="00761594" w:rsidRDefault="00000000">
            <w:pPr>
              <w:rPr>
                <w:rFonts w:ascii="Calibri" w:eastAsia="Calibri" w:hAnsi="Calibri" w:cs="Calibri"/>
                <w:sz w:val="20"/>
                <w:szCs w:val="20"/>
              </w:rPr>
            </w:pPr>
            <w:r>
              <w:rPr>
                <w:rFonts w:ascii="Calibri" w:eastAsia="Calibri" w:hAnsi="Calibri" w:cs="Calibri"/>
                <w:sz w:val="20"/>
                <w:szCs w:val="20"/>
              </w:rPr>
              <w:t>Intercept</w:t>
            </w:r>
          </w:p>
        </w:tc>
        <w:tc>
          <w:tcPr>
            <w:tcW w:w="1245" w:type="dxa"/>
            <w:tcBorders>
              <w:top w:val="nil"/>
              <w:left w:val="nil"/>
              <w:bottom w:val="nil"/>
              <w:right w:val="nil"/>
            </w:tcBorders>
            <w:tcMar>
              <w:top w:w="0" w:type="dxa"/>
              <w:left w:w="100" w:type="dxa"/>
              <w:bottom w:w="0" w:type="dxa"/>
              <w:right w:w="100" w:type="dxa"/>
            </w:tcMar>
          </w:tcPr>
          <w:p w14:paraId="02F523AC" w14:textId="77777777" w:rsidR="00761594" w:rsidRDefault="00000000">
            <w:pPr>
              <w:rPr>
                <w:rFonts w:ascii="Calibri" w:eastAsia="Calibri" w:hAnsi="Calibri" w:cs="Calibri"/>
                <w:sz w:val="20"/>
                <w:szCs w:val="20"/>
              </w:rPr>
            </w:pPr>
            <w:r>
              <w:rPr>
                <w:rFonts w:ascii="Calibri" w:eastAsia="Calibri" w:hAnsi="Calibri" w:cs="Calibri"/>
                <w:sz w:val="20"/>
                <w:szCs w:val="20"/>
              </w:rPr>
              <w:t>7.144</w:t>
            </w:r>
          </w:p>
        </w:tc>
        <w:tc>
          <w:tcPr>
            <w:tcW w:w="855" w:type="dxa"/>
            <w:tcBorders>
              <w:top w:val="nil"/>
              <w:left w:val="nil"/>
              <w:bottom w:val="nil"/>
              <w:right w:val="nil"/>
            </w:tcBorders>
            <w:tcMar>
              <w:top w:w="0" w:type="dxa"/>
              <w:left w:w="100" w:type="dxa"/>
              <w:bottom w:w="0" w:type="dxa"/>
              <w:right w:w="100" w:type="dxa"/>
            </w:tcMar>
          </w:tcPr>
          <w:p w14:paraId="11661E28" w14:textId="77777777" w:rsidR="00761594" w:rsidRDefault="00000000">
            <w:pPr>
              <w:rPr>
                <w:rFonts w:ascii="Calibri" w:eastAsia="Calibri" w:hAnsi="Calibri" w:cs="Calibri"/>
                <w:sz w:val="20"/>
                <w:szCs w:val="20"/>
              </w:rPr>
            </w:pPr>
            <w:r>
              <w:rPr>
                <w:rFonts w:ascii="Calibri" w:eastAsia="Calibri" w:hAnsi="Calibri" w:cs="Calibri"/>
                <w:sz w:val="20"/>
                <w:szCs w:val="20"/>
              </w:rPr>
              <w:t>0.641</w:t>
            </w:r>
          </w:p>
        </w:tc>
        <w:tc>
          <w:tcPr>
            <w:tcW w:w="1575" w:type="dxa"/>
            <w:tcBorders>
              <w:top w:val="nil"/>
              <w:left w:val="nil"/>
              <w:bottom w:val="nil"/>
              <w:right w:val="nil"/>
            </w:tcBorders>
            <w:tcMar>
              <w:top w:w="0" w:type="dxa"/>
              <w:left w:w="100" w:type="dxa"/>
              <w:bottom w:w="0" w:type="dxa"/>
              <w:right w:w="100" w:type="dxa"/>
            </w:tcMar>
          </w:tcPr>
          <w:p w14:paraId="159F9F81" w14:textId="77777777" w:rsidR="00761594" w:rsidRDefault="00000000">
            <w:pPr>
              <w:rPr>
                <w:rFonts w:ascii="Calibri" w:eastAsia="Calibri" w:hAnsi="Calibri" w:cs="Calibri"/>
                <w:sz w:val="20"/>
                <w:szCs w:val="20"/>
              </w:rPr>
            </w:pPr>
            <w:r>
              <w:rPr>
                <w:rFonts w:ascii="Calibri" w:eastAsia="Calibri" w:hAnsi="Calibri" w:cs="Calibri"/>
                <w:sz w:val="20"/>
                <w:szCs w:val="20"/>
              </w:rPr>
              <w:t>[5.89,8.4]</w:t>
            </w:r>
          </w:p>
        </w:tc>
        <w:tc>
          <w:tcPr>
            <w:tcW w:w="1500" w:type="dxa"/>
            <w:tcBorders>
              <w:top w:val="nil"/>
              <w:left w:val="nil"/>
              <w:bottom w:val="nil"/>
              <w:right w:val="nil"/>
            </w:tcBorders>
            <w:tcMar>
              <w:top w:w="0" w:type="dxa"/>
              <w:left w:w="100" w:type="dxa"/>
              <w:bottom w:w="0" w:type="dxa"/>
              <w:right w:w="100" w:type="dxa"/>
            </w:tcMar>
          </w:tcPr>
          <w:p w14:paraId="27B6E078" w14:textId="77777777" w:rsidR="00761594" w:rsidRDefault="00000000">
            <w:pPr>
              <w:rPr>
                <w:rFonts w:ascii="Calibri" w:eastAsia="Calibri" w:hAnsi="Calibri" w:cs="Calibri"/>
                <w:sz w:val="20"/>
                <w:szCs w:val="20"/>
              </w:rPr>
            </w:pPr>
            <w:r>
              <w:rPr>
                <w:rFonts w:ascii="Calibri" w:eastAsia="Calibri" w:hAnsi="Calibri" w:cs="Calibri"/>
                <w:sz w:val="20"/>
                <w:szCs w:val="20"/>
              </w:rPr>
              <w:t>&lt;0.001</w:t>
            </w:r>
          </w:p>
        </w:tc>
      </w:tr>
      <w:tr w:rsidR="00761594" w14:paraId="34291100" w14:textId="77777777">
        <w:trPr>
          <w:trHeight w:val="240"/>
        </w:trPr>
        <w:tc>
          <w:tcPr>
            <w:tcW w:w="2205" w:type="dxa"/>
            <w:tcBorders>
              <w:top w:val="nil"/>
              <w:left w:val="nil"/>
              <w:bottom w:val="nil"/>
              <w:right w:val="nil"/>
            </w:tcBorders>
            <w:tcMar>
              <w:top w:w="0" w:type="dxa"/>
              <w:left w:w="100" w:type="dxa"/>
              <w:bottom w:w="0" w:type="dxa"/>
              <w:right w:w="100" w:type="dxa"/>
            </w:tcMar>
          </w:tcPr>
          <w:p w14:paraId="5AF31459"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A60857B" w14:textId="77777777" w:rsidR="00761594" w:rsidRDefault="00000000">
            <w:pPr>
              <w:rPr>
                <w:rFonts w:ascii="Calibri" w:eastAsia="Calibri" w:hAnsi="Calibri" w:cs="Calibri"/>
                <w:sz w:val="20"/>
                <w:szCs w:val="20"/>
              </w:rPr>
            </w:pPr>
            <w:r>
              <w:rPr>
                <w:rFonts w:ascii="Calibri" w:eastAsia="Calibri" w:hAnsi="Calibri" w:cs="Calibri"/>
                <w:sz w:val="20"/>
                <w:szCs w:val="20"/>
              </w:rPr>
              <w:t>Sex</w:t>
            </w:r>
          </w:p>
        </w:tc>
        <w:tc>
          <w:tcPr>
            <w:tcW w:w="1245" w:type="dxa"/>
            <w:tcBorders>
              <w:top w:val="nil"/>
              <w:left w:val="nil"/>
              <w:bottom w:val="nil"/>
              <w:right w:val="nil"/>
            </w:tcBorders>
            <w:tcMar>
              <w:top w:w="0" w:type="dxa"/>
              <w:left w:w="100" w:type="dxa"/>
              <w:bottom w:w="0" w:type="dxa"/>
              <w:right w:w="100" w:type="dxa"/>
            </w:tcMar>
          </w:tcPr>
          <w:p w14:paraId="23ED8FC9" w14:textId="77777777" w:rsidR="00761594" w:rsidRDefault="00000000">
            <w:pPr>
              <w:rPr>
                <w:rFonts w:ascii="Calibri" w:eastAsia="Calibri" w:hAnsi="Calibri" w:cs="Calibri"/>
                <w:sz w:val="20"/>
                <w:szCs w:val="20"/>
              </w:rPr>
            </w:pPr>
            <w:r>
              <w:rPr>
                <w:rFonts w:ascii="Calibri" w:eastAsia="Calibri" w:hAnsi="Calibri" w:cs="Calibri"/>
                <w:sz w:val="20"/>
                <w:szCs w:val="20"/>
              </w:rPr>
              <w:t>-0.041</w:t>
            </w:r>
          </w:p>
        </w:tc>
        <w:tc>
          <w:tcPr>
            <w:tcW w:w="855" w:type="dxa"/>
            <w:tcBorders>
              <w:top w:val="nil"/>
              <w:left w:val="nil"/>
              <w:bottom w:val="nil"/>
              <w:right w:val="nil"/>
            </w:tcBorders>
            <w:tcMar>
              <w:top w:w="0" w:type="dxa"/>
              <w:left w:w="100" w:type="dxa"/>
              <w:bottom w:w="0" w:type="dxa"/>
              <w:right w:w="100" w:type="dxa"/>
            </w:tcMar>
          </w:tcPr>
          <w:p w14:paraId="6BB1CC29" w14:textId="77777777" w:rsidR="00761594" w:rsidRDefault="00000000">
            <w:pPr>
              <w:rPr>
                <w:rFonts w:ascii="Calibri" w:eastAsia="Calibri" w:hAnsi="Calibri" w:cs="Calibri"/>
                <w:sz w:val="20"/>
                <w:szCs w:val="20"/>
              </w:rPr>
            </w:pPr>
            <w:r>
              <w:rPr>
                <w:rFonts w:ascii="Calibri" w:eastAsia="Calibri" w:hAnsi="Calibri" w:cs="Calibri"/>
                <w:sz w:val="20"/>
                <w:szCs w:val="20"/>
              </w:rPr>
              <w:t>0.099</w:t>
            </w:r>
          </w:p>
        </w:tc>
        <w:tc>
          <w:tcPr>
            <w:tcW w:w="1575" w:type="dxa"/>
            <w:tcBorders>
              <w:top w:val="nil"/>
              <w:left w:val="nil"/>
              <w:bottom w:val="nil"/>
              <w:right w:val="nil"/>
            </w:tcBorders>
            <w:tcMar>
              <w:top w:w="0" w:type="dxa"/>
              <w:left w:w="100" w:type="dxa"/>
              <w:bottom w:w="0" w:type="dxa"/>
              <w:right w:w="100" w:type="dxa"/>
            </w:tcMar>
          </w:tcPr>
          <w:p w14:paraId="1EF23F4D" w14:textId="77777777" w:rsidR="00761594" w:rsidRDefault="00000000">
            <w:pPr>
              <w:rPr>
                <w:rFonts w:ascii="Calibri" w:eastAsia="Calibri" w:hAnsi="Calibri" w:cs="Calibri"/>
                <w:sz w:val="20"/>
                <w:szCs w:val="20"/>
              </w:rPr>
            </w:pPr>
            <w:r>
              <w:rPr>
                <w:rFonts w:ascii="Calibri" w:eastAsia="Calibri" w:hAnsi="Calibri" w:cs="Calibri"/>
                <w:sz w:val="20"/>
                <w:szCs w:val="20"/>
              </w:rPr>
              <w:t>[-0.23,0.15]</w:t>
            </w:r>
          </w:p>
        </w:tc>
        <w:tc>
          <w:tcPr>
            <w:tcW w:w="1500" w:type="dxa"/>
            <w:tcBorders>
              <w:top w:val="nil"/>
              <w:left w:val="nil"/>
              <w:bottom w:val="nil"/>
              <w:right w:val="nil"/>
            </w:tcBorders>
            <w:tcMar>
              <w:top w:w="0" w:type="dxa"/>
              <w:left w:w="100" w:type="dxa"/>
              <w:bottom w:w="0" w:type="dxa"/>
              <w:right w:w="100" w:type="dxa"/>
            </w:tcMar>
          </w:tcPr>
          <w:p w14:paraId="4E7330EF" w14:textId="77777777" w:rsidR="00761594" w:rsidRDefault="00000000">
            <w:pPr>
              <w:rPr>
                <w:rFonts w:ascii="Calibri" w:eastAsia="Calibri" w:hAnsi="Calibri" w:cs="Calibri"/>
                <w:sz w:val="20"/>
                <w:szCs w:val="20"/>
              </w:rPr>
            </w:pPr>
            <w:r>
              <w:rPr>
                <w:rFonts w:ascii="Calibri" w:eastAsia="Calibri" w:hAnsi="Calibri" w:cs="Calibri"/>
                <w:sz w:val="20"/>
                <w:szCs w:val="20"/>
              </w:rPr>
              <w:t>0.678</w:t>
            </w:r>
          </w:p>
        </w:tc>
      </w:tr>
      <w:tr w:rsidR="00761594" w14:paraId="0CA3C747" w14:textId="77777777">
        <w:trPr>
          <w:trHeight w:val="240"/>
        </w:trPr>
        <w:tc>
          <w:tcPr>
            <w:tcW w:w="2205" w:type="dxa"/>
            <w:tcBorders>
              <w:top w:val="nil"/>
              <w:left w:val="nil"/>
              <w:bottom w:val="nil"/>
              <w:right w:val="nil"/>
            </w:tcBorders>
            <w:tcMar>
              <w:top w:w="0" w:type="dxa"/>
              <w:left w:w="100" w:type="dxa"/>
              <w:bottom w:w="0" w:type="dxa"/>
              <w:right w:w="100" w:type="dxa"/>
            </w:tcMar>
          </w:tcPr>
          <w:p w14:paraId="267DEE1D"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4824A274" w14:textId="77777777" w:rsidR="00761594" w:rsidRDefault="00000000">
            <w:pPr>
              <w:rPr>
                <w:rFonts w:ascii="Calibri" w:eastAsia="Calibri" w:hAnsi="Calibri" w:cs="Calibri"/>
                <w:sz w:val="20"/>
                <w:szCs w:val="20"/>
              </w:rPr>
            </w:pPr>
            <w:r>
              <w:rPr>
                <w:rFonts w:ascii="Calibri" w:eastAsia="Calibri" w:hAnsi="Calibri" w:cs="Calibri"/>
                <w:sz w:val="20"/>
                <w:szCs w:val="20"/>
              </w:rPr>
              <w:t>Age</w:t>
            </w:r>
          </w:p>
        </w:tc>
        <w:tc>
          <w:tcPr>
            <w:tcW w:w="1245" w:type="dxa"/>
            <w:tcBorders>
              <w:top w:val="nil"/>
              <w:left w:val="nil"/>
              <w:bottom w:val="nil"/>
              <w:right w:val="nil"/>
            </w:tcBorders>
            <w:tcMar>
              <w:top w:w="0" w:type="dxa"/>
              <w:left w:w="100" w:type="dxa"/>
              <w:bottom w:w="0" w:type="dxa"/>
              <w:right w:w="100" w:type="dxa"/>
            </w:tcMar>
          </w:tcPr>
          <w:p w14:paraId="407926C4" w14:textId="77777777" w:rsidR="00761594" w:rsidRDefault="00000000">
            <w:pPr>
              <w:rPr>
                <w:rFonts w:ascii="Calibri" w:eastAsia="Calibri" w:hAnsi="Calibri" w:cs="Calibri"/>
                <w:sz w:val="20"/>
                <w:szCs w:val="20"/>
              </w:rPr>
            </w:pPr>
            <w:r>
              <w:rPr>
                <w:rFonts w:ascii="Calibri" w:eastAsia="Calibri" w:hAnsi="Calibri" w:cs="Calibri"/>
                <w:sz w:val="20"/>
                <w:szCs w:val="20"/>
              </w:rPr>
              <w:t>0.001</w:t>
            </w:r>
          </w:p>
        </w:tc>
        <w:tc>
          <w:tcPr>
            <w:tcW w:w="855" w:type="dxa"/>
            <w:tcBorders>
              <w:top w:val="nil"/>
              <w:left w:val="nil"/>
              <w:bottom w:val="nil"/>
              <w:right w:val="nil"/>
            </w:tcBorders>
            <w:tcMar>
              <w:top w:w="0" w:type="dxa"/>
              <w:left w:w="100" w:type="dxa"/>
              <w:bottom w:w="0" w:type="dxa"/>
              <w:right w:w="100" w:type="dxa"/>
            </w:tcMar>
          </w:tcPr>
          <w:p w14:paraId="02D0F2E4" w14:textId="77777777" w:rsidR="00761594" w:rsidRDefault="00000000">
            <w:pPr>
              <w:rPr>
                <w:rFonts w:ascii="Calibri" w:eastAsia="Calibri" w:hAnsi="Calibri" w:cs="Calibri"/>
                <w:sz w:val="20"/>
                <w:szCs w:val="20"/>
              </w:rPr>
            </w:pPr>
            <w:r>
              <w:rPr>
                <w:rFonts w:ascii="Calibri" w:eastAsia="Calibri" w:hAnsi="Calibri" w:cs="Calibri"/>
                <w:sz w:val="20"/>
                <w:szCs w:val="20"/>
              </w:rPr>
              <w:t>0.032</w:t>
            </w:r>
          </w:p>
        </w:tc>
        <w:tc>
          <w:tcPr>
            <w:tcW w:w="1575" w:type="dxa"/>
            <w:tcBorders>
              <w:top w:val="nil"/>
              <w:left w:val="nil"/>
              <w:bottom w:val="nil"/>
              <w:right w:val="nil"/>
            </w:tcBorders>
            <w:tcMar>
              <w:top w:w="0" w:type="dxa"/>
              <w:left w:w="100" w:type="dxa"/>
              <w:bottom w:w="0" w:type="dxa"/>
              <w:right w:w="100" w:type="dxa"/>
            </w:tcMar>
          </w:tcPr>
          <w:p w14:paraId="2502C575" w14:textId="77777777" w:rsidR="00761594" w:rsidRDefault="00000000">
            <w:pPr>
              <w:rPr>
                <w:rFonts w:ascii="Calibri" w:eastAsia="Calibri" w:hAnsi="Calibri" w:cs="Calibri"/>
                <w:sz w:val="20"/>
                <w:szCs w:val="20"/>
              </w:rPr>
            </w:pPr>
            <w:r>
              <w:rPr>
                <w:rFonts w:ascii="Calibri" w:eastAsia="Calibri" w:hAnsi="Calibri" w:cs="Calibri"/>
                <w:sz w:val="20"/>
                <w:szCs w:val="20"/>
              </w:rPr>
              <w:t>[-0.06,0.06]</w:t>
            </w:r>
          </w:p>
        </w:tc>
        <w:tc>
          <w:tcPr>
            <w:tcW w:w="1500" w:type="dxa"/>
            <w:tcBorders>
              <w:top w:val="nil"/>
              <w:left w:val="nil"/>
              <w:bottom w:val="nil"/>
              <w:right w:val="nil"/>
            </w:tcBorders>
            <w:tcMar>
              <w:top w:w="0" w:type="dxa"/>
              <w:left w:w="100" w:type="dxa"/>
              <w:bottom w:w="0" w:type="dxa"/>
              <w:right w:w="100" w:type="dxa"/>
            </w:tcMar>
          </w:tcPr>
          <w:p w14:paraId="765DEEEC" w14:textId="77777777" w:rsidR="00761594" w:rsidRDefault="00000000">
            <w:pPr>
              <w:rPr>
                <w:rFonts w:ascii="Calibri" w:eastAsia="Calibri" w:hAnsi="Calibri" w:cs="Calibri"/>
                <w:sz w:val="20"/>
                <w:szCs w:val="20"/>
              </w:rPr>
            </w:pPr>
            <w:r>
              <w:rPr>
                <w:rFonts w:ascii="Calibri" w:eastAsia="Calibri" w:hAnsi="Calibri" w:cs="Calibri"/>
                <w:sz w:val="20"/>
                <w:szCs w:val="20"/>
              </w:rPr>
              <w:t>0.975</w:t>
            </w:r>
          </w:p>
        </w:tc>
      </w:tr>
      <w:tr w:rsidR="00761594" w14:paraId="40F2A657" w14:textId="77777777">
        <w:trPr>
          <w:trHeight w:val="240"/>
        </w:trPr>
        <w:tc>
          <w:tcPr>
            <w:tcW w:w="2205" w:type="dxa"/>
            <w:tcBorders>
              <w:top w:val="nil"/>
              <w:left w:val="nil"/>
              <w:bottom w:val="nil"/>
              <w:right w:val="nil"/>
            </w:tcBorders>
            <w:tcMar>
              <w:top w:w="0" w:type="dxa"/>
              <w:left w:w="100" w:type="dxa"/>
              <w:bottom w:w="0" w:type="dxa"/>
              <w:right w:w="100" w:type="dxa"/>
            </w:tcMar>
          </w:tcPr>
          <w:p w14:paraId="0220A5B8"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9823CCA" w14:textId="77777777" w:rsidR="00761594" w:rsidRDefault="00000000">
            <w:pPr>
              <w:rPr>
                <w:rFonts w:ascii="Calibri" w:eastAsia="Calibri" w:hAnsi="Calibri" w:cs="Calibri"/>
                <w:sz w:val="20"/>
                <w:szCs w:val="20"/>
              </w:rPr>
            </w:pPr>
            <w:r>
              <w:rPr>
                <w:rFonts w:ascii="Calibri" w:eastAsia="Calibri" w:hAnsi="Calibri" w:cs="Calibri"/>
                <w:sz w:val="20"/>
                <w:szCs w:val="20"/>
              </w:rPr>
              <w:t>Maternal Rank</w:t>
            </w:r>
          </w:p>
        </w:tc>
        <w:tc>
          <w:tcPr>
            <w:tcW w:w="1245" w:type="dxa"/>
            <w:tcBorders>
              <w:top w:val="nil"/>
              <w:left w:val="nil"/>
              <w:bottom w:val="nil"/>
              <w:right w:val="nil"/>
            </w:tcBorders>
            <w:tcMar>
              <w:top w:w="0" w:type="dxa"/>
              <w:left w:w="100" w:type="dxa"/>
              <w:bottom w:w="0" w:type="dxa"/>
              <w:right w:w="100" w:type="dxa"/>
            </w:tcMar>
          </w:tcPr>
          <w:p w14:paraId="5462ED06" w14:textId="77777777" w:rsidR="00761594" w:rsidRDefault="00000000">
            <w:pPr>
              <w:rPr>
                <w:rFonts w:ascii="Calibri" w:eastAsia="Calibri" w:hAnsi="Calibri" w:cs="Calibri"/>
                <w:sz w:val="20"/>
                <w:szCs w:val="20"/>
              </w:rPr>
            </w:pPr>
            <w:r>
              <w:rPr>
                <w:rFonts w:ascii="Calibri" w:eastAsia="Calibri" w:hAnsi="Calibri" w:cs="Calibri"/>
                <w:sz w:val="20"/>
                <w:szCs w:val="20"/>
              </w:rPr>
              <w:t>0.051</w:t>
            </w:r>
          </w:p>
        </w:tc>
        <w:tc>
          <w:tcPr>
            <w:tcW w:w="855" w:type="dxa"/>
            <w:tcBorders>
              <w:top w:val="nil"/>
              <w:left w:val="nil"/>
              <w:bottom w:val="nil"/>
              <w:right w:val="nil"/>
            </w:tcBorders>
            <w:tcMar>
              <w:top w:w="0" w:type="dxa"/>
              <w:left w:w="100" w:type="dxa"/>
              <w:bottom w:w="0" w:type="dxa"/>
              <w:right w:w="100" w:type="dxa"/>
            </w:tcMar>
          </w:tcPr>
          <w:p w14:paraId="722BCF46" w14:textId="77777777" w:rsidR="00761594" w:rsidRDefault="00000000">
            <w:pPr>
              <w:rPr>
                <w:rFonts w:ascii="Calibri" w:eastAsia="Calibri" w:hAnsi="Calibri" w:cs="Calibri"/>
                <w:sz w:val="20"/>
                <w:szCs w:val="20"/>
              </w:rPr>
            </w:pPr>
            <w:r>
              <w:rPr>
                <w:rFonts w:ascii="Calibri" w:eastAsia="Calibri" w:hAnsi="Calibri" w:cs="Calibri"/>
                <w:sz w:val="20"/>
                <w:szCs w:val="20"/>
              </w:rPr>
              <w:t>0.158</w:t>
            </w:r>
          </w:p>
        </w:tc>
        <w:tc>
          <w:tcPr>
            <w:tcW w:w="1575" w:type="dxa"/>
            <w:tcBorders>
              <w:top w:val="nil"/>
              <w:left w:val="nil"/>
              <w:bottom w:val="nil"/>
              <w:right w:val="nil"/>
            </w:tcBorders>
            <w:tcMar>
              <w:top w:w="0" w:type="dxa"/>
              <w:left w:w="100" w:type="dxa"/>
              <w:bottom w:w="0" w:type="dxa"/>
              <w:right w:w="100" w:type="dxa"/>
            </w:tcMar>
          </w:tcPr>
          <w:p w14:paraId="15BBB74E" w14:textId="77777777" w:rsidR="00761594" w:rsidRDefault="00000000">
            <w:pPr>
              <w:rPr>
                <w:rFonts w:ascii="Calibri" w:eastAsia="Calibri" w:hAnsi="Calibri" w:cs="Calibri"/>
                <w:sz w:val="20"/>
                <w:szCs w:val="20"/>
              </w:rPr>
            </w:pPr>
            <w:r>
              <w:rPr>
                <w:rFonts w:ascii="Calibri" w:eastAsia="Calibri" w:hAnsi="Calibri" w:cs="Calibri"/>
                <w:sz w:val="20"/>
                <w:szCs w:val="20"/>
              </w:rPr>
              <w:t>[-0.26,0.36]</w:t>
            </w:r>
          </w:p>
        </w:tc>
        <w:tc>
          <w:tcPr>
            <w:tcW w:w="1500" w:type="dxa"/>
            <w:tcBorders>
              <w:top w:val="nil"/>
              <w:left w:val="nil"/>
              <w:bottom w:val="nil"/>
              <w:right w:val="nil"/>
            </w:tcBorders>
            <w:tcMar>
              <w:top w:w="0" w:type="dxa"/>
              <w:left w:w="100" w:type="dxa"/>
              <w:bottom w:w="0" w:type="dxa"/>
              <w:right w:w="100" w:type="dxa"/>
            </w:tcMar>
          </w:tcPr>
          <w:p w14:paraId="5D73DD03" w14:textId="77777777" w:rsidR="00761594" w:rsidRDefault="00000000">
            <w:pPr>
              <w:rPr>
                <w:rFonts w:ascii="Calibri" w:eastAsia="Calibri" w:hAnsi="Calibri" w:cs="Calibri"/>
                <w:sz w:val="20"/>
                <w:szCs w:val="20"/>
              </w:rPr>
            </w:pPr>
            <w:r>
              <w:rPr>
                <w:rFonts w:ascii="Calibri" w:eastAsia="Calibri" w:hAnsi="Calibri" w:cs="Calibri"/>
                <w:sz w:val="20"/>
                <w:szCs w:val="20"/>
              </w:rPr>
              <w:t>0.748</w:t>
            </w:r>
          </w:p>
        </w:tc>
      </w:tr>
      <w:tr w:rsidR="00761594" w14:paraId="5586B9F5" w14:textId="77777777">
        <w:trPr>
          <w:trHeight w:val="240"/>
        </w:trPr>
        <w:tc>
          <w:tcPr>
            <w:tcW w:w="2205" w:type="dxa"/>
            <w:tcBorders>
              <w:top w:val="nil"/>
              <w:left w:val="nil"/>
              <w:bottom w:val="nil"/>
              <w:right w:val="nil"/>
            </w:tcBorders>
            <w:tcMar>
              <w:top w:w="0" w:type="dxa"/>
              <w:left w:w="100" w:type="dxa"/>
              <w:bottom w:w="0" w:type="dxa"/>
              <w:right w:w="100" w:type="dxa"/>
            </w:tcMar>
          </w:tcPr>
          <w:p w14:paraId="37E420D0" w14:textId="77777777" w:rsidR="00761594" w:rsidRDefault="00000000">
            <w:pPr>
              <w:rPr>
                <w:rFonts w:ascii="Calibri" w:eastAsia="Calibri" w:hAnsi="Calibri" w:cs="Calibri"/>
                <w:sz w:val="20"/>
                <w:szCs w:val="20"/>
              </w:rPr>
            </w:pPr>
            <w:r>
              <w:rPr>
                <w:rFonts w:ascii="Calibri" w:eastAsia="Calibri" w:hAnsi="Calibri" w:cs="Calibri"/>
                <w:sz w:val="20"/>
                <w:szCs w:val="20"/>
              </w:rPr>
              <w:lastRenderedPageBreak/>
              <w:t xml:space="preserve"> </w:t>
            </w:r>
          </w:p>
        </w:tc>
        <w:tc>
          <w:tcPr>
            <w:tcW w:w="1755" w:type="dxa"/>
            <w:tcBorders>
              <w:top w:val="nil"/>
              <w:left w:val="nil"/>
              <w:bottom w:val="nil"/>
              <w:right w:val="nil"/>
            </w:tcBorders>
            <w:tcMar>
              <w:top w:w="0" w:type="dxa"/>
              <w:left w:w="100" w:type="dxa"/>
              <w:bottom w:w="0" w:type="dxa"/>
              <w:right w:w="100" w:type="dxa"/>
            </w:tcMar>
          </w:tcPr>
          <w:p w14:paraId="45CB90CC" w14:textId="77777777" w:rsidR="00761594" w:rsidRDefault="00000000">
            <w:pPr>
              <w:rPr>
                <w:rFonts w:ascii="Calibri" w:eastAsia="Calibri" w:hAnsi="Calibri" w:cs="Calibri"/>
                <w:b/>
                <w:sz w:val="20"/>
                <w:szCs w:val="20"/>
              </w:rPr>
            </w:pPr>
            <w:r>
              <w:rPr>
                <w:rFonts w:ascii="Calibri" w:eastAsia="Calibri" w:hAnsi="Calibri" w:cs="Calibri"/>
                <w:b/>
                <w:sz w:val="20"/>
                <w:szCs w:val="20"/>
              </w:rPr>
              <w:t>ELBM</w:t>
            </w:r>
          </w:p>
        </w:tc>
        <w:tc>
          <w:tcPr>
            <w:tcW w:w="1245" w:type="dxa"/>
            <w:tcBorders>
              <w:top w:val="nil"/>
              <w:left w:val="nil"/>
              <w:bottom w:val="nil"/>
              <w:right w:val="nil"/>
            </w:tcBorders>
            <w:tcMar>
              <w:top w:w="0" w:type="dxa"/>
              <w:left w:w="100" w:type="dxa"/>
              <w:bottom w:w="0" w:type="dxa"/>
              <w:right w:w="100" w:type="dxa"/>
            </w:tcMar>
          </w:tcPr>
          <w:p w14:paraId="2D7EB5A8" w14:textId="77777777" w:rsidR="00761594" w:rsidRDefault="00000000">
            <w:pPr>
              <w:rPr>
                <w:rFonts w:ascii="Calibri" w:eastAsia="Calibri" w:hAnsi="Calibri" w:cs="Calibri"/>
                <w:sz w:val="20"/>
                <w:szCs w:val="20"/>
              </w:rPr>
            </w:pPr>
            <w:r>
              <w:rPr>
                <w:rFonts w:ascii="Calibri" w:eastAsia="Calibri" w:hAnsi="Calibri" w:cs="Calibri"/>
                <w:sz w:val="20"/>
                <w:szCs w:val="20"/>
              </w:rPr>
              <w:t>1.447</w:t>
            </w:r>
          </w:p>
        </w:tc>
        <w:tc>
          <w:tcPr>
            <w:tcW w:w="855" w:type="dxa"/>
            <w:tcBorders>
              <w:top w:val="nil"/>
              <w:left w:val="nil"/>
              <w:bottom w:val="nil"/>
              <w:right w:val="nil"/>
            </w:tcBorders>
            <w:tcMar>
              <w:top w:w="0" w:type="dxa"/>
              <w:left w:w="100" w:type="dxa"/>
              <w:bottom w:w="0" w:type="dxa"/>
              <w:right w:w="100" w:type="dxa"/>
            </w:tcMar>
          </w:tcPr>
          <w:p w14:paraId="710BB5CF" w14:textId="77777777" w:rsidR="00761594" w:rsidRDefault="00000000">
            <w:pPr>
              <w:rPr>
                <w:rFonts w:ascii="Calibri" w:eastAsia="Calibri" w:hAnsi="Calibri" w:cs="Calibri"/>
                <w:sz w:val="20"/>
                <w:szCs w:val="20"/>
              </w:rPr>
            </w:pPr>
            <w:r>
              <w:rPr>
                <w:rFonts w:ascii="Calibri" w:eastAsia="Calibri" w:hAnsi="Calibri" w:cs="Calibri"/>
                <w:sz w:val="20"/>
                <w:szCs w:val="20"/>
              </w:rPr>
              <w:t>0.239</w:t>
            </w:r>
          </w:p>
        </w:tc>
        <w:tc>
          <w:tcPr>
            <w:tcW w:w="1575" w:type="dxa"/>
            <w:tcBorders>
              <w:top w:val="nil"/>
              <w:left w:val="nil"/>
              <w:bottom w:val="nil"/>
              <w:right w:val="nil"/>
            </w:tcBorders>
            <w:tcMar>
              <w:top w:w="0" w:type="dxa"/>
              <w:left w:w="100" w:type="dxa"/>
              <w:bottom w:w="0" w:type="dxa"/>
              <w:right w:w="100" w:type="dxa"/>
            </w:tcMar>
          </w:tcPr>
          <w:p w14:paraId="694AC6D9" w14:textId="77777777" w:rsidR="00761594" w:rsidRDefault="00000000">
            <w:pPr>
              <w:rPr>
                <w:rFonts w:ascii="Calibri" w:eastAsia="Calibri" w:hAnsi="Calibri" w:cs="Calibri"/>
                <w:sz w:val="20"/>
                <w:szCs w:val="20"/>
              </w:rPr>
            </w:pPr>
            <w:r>
              <w:rPr>
                <w:rFonts w:ascii="Calibri" w:eastAsia="Calibri" w:hAnsi="Calibri" w:cs="Calibri"/>
                <w:sz w:val="20"/>
                <w:szCs w:val="20"/>
              </w:rPr>
              <w:t>[0.98,1.91]</w:t>
            </w:r>
          </w:p>
        </w:tc>
        <w:tc>
          <w:tcPr>
            <w:tcW w:w="1500" w:type="dxa"/>
            <w:tcBorders>
              <w:top w:val="nil"/>
              <w:left w:val="nil"/>
              <w:bottom w:val="nil"/>
              <w:right w:val="nil"/>
            </w:tcBorders>
            <w:tcMar>
              <w:top w:w="0" w:type="dxa"/>
              <w:left w:w="100" w:type="dxa"/>
              <w:bottom w:w="0" w:type="dxa"/>
              <w:right w:w="100" w:type="dxa"/>
            </w:tcMar>
          </w:tcPr>
          <w:p w14:paraId="74BB6E63" w14:textId="77777777" w:rsidR="00761594" w:rsidRDefault="00000000">
            <w:pPr>
              <w:rPr>
                <w:rFonts w:ascii="Calibri" w:eastAsia="Calibri" w:hAnsi="Calibri" w:cs="Calibri"/>
                <w:b/>
                <w:sz w:val="20"/>
                <w:szCs w:val="20"/>
              </w:rPr>
            </w:pPr>
            <w:r>
              <w:rPr>
                <w:rFonts w:ascii="Calibri" w:eastAsia="Calibri" w:hAnsi="Calibri" w:cs="Calibri"/>
                <w:b/>
                <w:sz w:val="20"/>
                <w:szCs w:val="20"/>
              </w:rPr>
              <w:t>&lt;0.001</w:t>
            </w:r>
          </w:p>
        </w:tc>
      </w:tr>
      <w:tr w:rsidR="00761594" w14:paraId="2131C7B7" w14:textId="77777777">
        <w:trPr>
          <w:trHeight w:val="240"/>
        </w:trPr>
        <w:tc>
          <w:tcPr>
            <w:tcW w:w="2205" w:type="dxa"/>
            <w:tcBorders>
              <w:top w:val="nil"/>
              <w:left w:val="nil"/>
              <w:bottom w:val="nil"/>
              <w:right w:val="nil"/>
            </w:tcBorders>
            <w:tcMar>
              <w:top w:w="0" w:type="dxa"/>
              <w:left w:w="100" w:type="dxa"/>
              <w:bottom w:w="0" w:type="dxa"/>
              <w:right w:w="100" w:type="dxa"/>
            </w:tcMar>
          </w:tcPr>
          <w:p w14:paraId="2C98DEB8"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7FA51633" w14:textId="77777777" w:rsidR="00761594" w:rsidRDefault="00000000">
            <w:pPr>
              <w:rPr>
                <w:rFonts w:ascii="Calibri" w:eastAsia="Calibri" w:hAnsi="Calibri" w:cs="Calibri"/>
                <w:b/>
                <w:sz w:val="20"/>
                <w:szCs w:val="20"/>
              </w:rPr>
            </w:pPr>
            <w:r>
              <w:rPr>
                <w:rFonts w:ascii="Calibri" w:eastAsia="Calibri" w:hAnsi="Calibri" w:cs="Calibri"/>
                <w:b/>
                <w:sz w:val="20"/>
                <w:szCs w:val="20"/>
              </w:rPr>
              <w:t>log2 C-peptide</w:t>
            </w:r>
          </w:p>
        </w:tc>
        <w:tc>
          <w:tcPr>
            <w:tcW w:w="1245" w:type="dxa"/>
            <w:tcBorders>
              <w:top w:val="nil"/>
              <w:left w:val="nil"/>
              <w:bottom w:val="nil"/>
              <w:right w:val="nil"/>
            </w:tcBorders>
            <w:tcMar>
              <w:top w:w="0" w:type="dxa"/>
              <w:left w:w="100" w:type="dxa"/>
              <w:bottom w:w="0" w:type="dxa"/>
              <w:right w:w="100" w:type="dxa"/>
            </w:tcMar>
          </w:tcPr>
          <w:p w14:paraId="7B51AF2A" w14:textId="77777777" w:rsidR="00761594" w:rsidRDefault="00000000">
            <w:pPr>
              <w:rPr>
                <w:rFonts w:ascii="Calibri" w:eastAsia="Calibri" w:hAnsi="Calibri" w:cs="Calibri"/>
                <w:sz w:val="20"/>
                <w:szCs w:val="20"/>
              </w:rPr>
            </w:pPr>
            <w:r>
              <w:rPr>
                <w:rFonts w:ascii="Calibri" w:eastAsia="Calibri" w:hAnsi="Calibri" w:cs="Calibri"/>
                <w:sz w:val="20"/>
                <w:szCs w:val="20"/>
              </w:rPr>
              <w:t>0.14</w:t>
            </w:r>
          </w:p>
        </w:tc>
        <w:tc>
          <w:tcPr>
            <w:tcW w:w="855" w:type="dxa"/>
            <w:tcBorders>
              <w:top w:val="nil"/>
              <w:left w:val="nil"/>
              <w:bottom w:val="nil"/>
              <w:right w:val="nil"/>
            </w:tcBorders>
            <w:tcMar>
              <w:top w:w="0" w:type="dxa"/>
              <w:left w:w="100" w:type="dxa"/>
              <w:bottom w:w="0" w:type="dxa"/>
              <w:right w:w="100" w:type="dxa"/>
            </w:tcMar>
          </w:tcPr>
          <w:p w14:paraId="07B9DC37" w14:textId="77777777" w:rsidR="00761594" w:rsidRDefault="00000000">
            <w:pPr>
              <w:rPr>
                <w:rFonts w:ascii="Calibri" w:eastAsia="Calibri" w:hAnsi="Calibri" w:cs="Calibri"/>
                <w:sz w:val="20"/>
                <w:szCs w:val="20"/>
              </w:rPr>
            </w:pPr>
            <w:r>
              <w:rPr>
                <w:rFonts w:ascii="Calibri" w:eastAsia="Calibri" w:hAnsi="Calibri" w:cs="Calibri"/>
                <w:sz w:val="20"/>
                <w:szCs w:val="20"/>
              </w:rPr>
              <w:t>0.042</w:t>
            </w:r>
          </w:p>
        </w:tc>
        <w:tc>
          <w:tcPr>
            <w:tcW w:w="1575" w:type="dxa"/>
            <w:tcBorders>
              <w:top w:val="nil"/>
              <w:left w:val="nil"/>
              <w:bottom w:val="nil"/>
              <w:right w:val="nil"/>
            </w:tcBorders>
            <w:tcMar>
              <w:top w:w="0" w:type="dxa"/>
              <w:left w:w="100" w:type="dxa"/>
              <w:bottom w:w="0" w:type="dxa"/>
              <w:right w:w="100" w:type="dxa"/>
            </w:tcMar>
          </w:tcPr>
          <w:p w14:paraId="0041EA7F" w14:textId="77777777" w:rsidR="00761594" w:rsidRDefault="00000000">
            <w:pPr>
              <w:rPr>
                <w:rFonts w:ascii="Calibri" w:eastAsia="Calibri" w:hAnsi="Calibri" w:cs="Calibri"/>
                <w:sz w:val="20"/>
                <w:szCs w:val="20"/>
              </w:rPr>
            </w:pPr>
            <w:r>
              <w:rPr>
                <w:rFonts w:ascii="Calibri" w:eastAsia="Calibri" w:hAnsi="Calibri" w:cs="Calibri"/>
                <w:sz w:val="20"/>
                <w:szCs w:val="20"/>
              </w:rPr>
              <w:t>[0.06,0.22]</w:t>
            </w:r>
          </w:p>
        </w:tc>
        <w:tc>
          <w:tcPr>
            <w:tcW w:w="1500" w:type="dxa"/>
            <w:tcBorders>
              <w:top w:val="nil"/>
              <w:left w:val="nil"/>
              <w:bottom w:val="nil"/>
              <w:right w:val="nil"/>
            </w:tcBorders>
            <w:tcMar>
              <w:top w:w="0" w:type="dxa"/>
              <w:left w:w="100" w:type="dxa"/>
              <w:bottom w:w="0" w:type="dxa"/>
              <w:right w:w="100" w:type="dxa"/>
            </w:tcMar>
          </w:tcPr>
          <w:p w14:paraId="7BCDCCAB" w14:textId="77777777" w:rsidR="00761594" w:rsidRDefault="00000000">
            <w:pPr>
              <w:rPr>
                <w:rFonts w:ascii="Calibri" w:eastAsia="Calibri" w:hAnsi="Calibri" w:cs="Calibri"/>
                <w:b/>
                <w:sz w:val="20"/>
                <w:szCs w:val="20"/>
              </w:rPr>
            </w:pPr>
            <w:r>
              <w:rPr>
                <w:rFonts w:ascii="Calibri" w:eastAsia="Calibri" w:hAnsi="Calibri" w:cs="Calibri"/>
                <w:b/>
                <w:sz w:val="20"/>
                <w:szCs w:val="20"/>
              </w:rPr>
              <w:t>0.001</w:t>
            </w:r>
          </w:p>
        </w:tc>
      </w:tr>
      <w:tr w:rsidR="00761594" w14:paraId="466C4707" w14:textId="77777777">
        <w:trPr>
          <w:trHeight w:val="240"/>
        </w:trPr>
        <w:tc>
          <w:tcPr>
            <w:tcW w:w="2205" w:type="dxa"/>
            <w:tcBorders>
              <w:top w:val="nil"/>
              <w:left w:val="nil"/>
              <w:bottom w:val="nil"/>
              <w:right w:val="nil"/>
            </w:tcBorders>
            <w:tcMar>
              <w:top w:w="0" w:type="dxa"/>
              <w:left w:w="100" w:type="dxa"/>
              <w:bottom w:w="0" w:type="dxa"/>
              <w:right w:w="100" w:type="dxa"/>
            </w:tcMar>
          </w:tcPr>
          <w:p w14:paraId="0DC7887B"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ACB97B9" w14:textId="77777777" w:rsidR="00761594" w:rsidRDefault="00000000">
            <w:pPr>
              <w:rPr>
                <w:rFonts w:ascii="Calibri" w:eastAsia="Calibri" w:hAnsi="Calibri" w:cs="Calibri"/>
                <w:sz w:val="20"/>
                <w:szCs w:val="20"/>
              </w:rPr>
            </w:pPr>
            <w:r>
              <w:rPr>
                <w:rFonts w:ascii="Calibri" w:eastAsia="Calibri" w:hAnsi="Calibri" w:cs="Calibri"/>
                <w:sz w:val="20"/>
                <w:szCs w:val="20"/>
              </w:rPr>
              <w:t>Monthly rainfall</w:t>
            </w:r>
          </w:p>
        </w:tc>
        <w:tc>
          <w:tcPr>
            <w:tcW w:w="1245" w:type="dxa"/>
            <w:tcBorders>
              <w:top w:val="nil"/>
              <w:left w:val="nil"/>
              <w:bottom w:val="nil"/>
              <w:right w:val="nil"/>
            </w:tcBorders>
            <w:tcMar>
              <w:top w:w="0" w:type="dxa"/>
              <w:left w:w="100" w:type="dxa"/>
              <w:bottom w:w="0" w:type="dxa"/>
              <w:right w:w="100" w:type="dxa"/>
            </w:tcMar>
          </w:tcPr>
          <w:p w14:paraId="2F886129" w14:textId="77777777" w:rsidR="00761594" w:rsidRDefault="00000000">
            <w:pPr>
              <w:rPr>
                <w:rFonts w:ascii="Calibri" w:eastAsia="Calibri" w:hAnsi="Calibri" w:cs="Calibri"/>
                <w:sz w:val="20"/>
                <w:szCs w:val="20"/>
              </w:rPr>
            </w:pPr>
            <w:r>
              <w:rPr>
                <w:rFonts w:ascii="Calibri" w:eastAsia="Calibri" w:hAnsi="Calibri" w:cs="Calibri"/>
                <w:sz w:val="20"/>
                <w:szCs w:val="20"/>
              </w:rPr>
              <w:t>-0.016</w:t>
            </w:r>
          </w:p>
        </w:tc>
        <w:tc>
          <w:tcPr>
            <w:tcW w:w="855" w:type="dxa"/>
            <w:tcBorders>
              <w:top w:val="nil"/>
              <w:left w:val="nil"/>
              <w:bottom w:val="nil"/>
              <w:right w:val="nil"/>
            </w:tcBorders>
            <w:tcMar>
              <w:top w:w="0" w:type="dxa"/>
              <w:left w:w="100" w:type="dxa"/>
              <w:bottom w:w="0" w:type="dxa"/>
              <w:right w:w="100" w:type="dxa"/>
            </w:tcMar>
          </w:tcPr>
          <w:p w14:paraId="1E042A47" w14:textId="77777777" w:rsidR="00761594" w:rsidRDefault="00000000">
            <w:pPr>
              <w:rPr>
                <w:rFonts w:ascii="Calibri" w:eastAsia="Calibri" w:hAnsi="Calibri" w:cs="Calibri"/>
                <w:sz w:val="20"/>
                <w:szCs w:val="20"/>
              </w:rPr>
            </w:pPr>
            <w:r>
              <w:rPr>
                <w:rFonts w:ascii="Calibri" w:eastAsia="Calibri" w:hAnsi="Calibri" w:cs="Calibri"/>
                <w:sz w:val="20"/>
                <w:szCs w:val="20"/>
              </w:rPr>
              <w:t>0.031</w:t>
            </w:r>
          </w:p>
        </w:tc>
        <w:tc>
          <w:tcPr>
            <w:tcW w:w="1575" w:type="dxa"/>
            <w:tcBorders>
              <w:top w:val="nil"/>
              <w:left w:val="nil"/>
              <w:bottom w:val="nil"/>
              <w:right w:val="nil"/>
            </w:tcBorders>
            <w:tcMar>
              <w:top w:w="0" w:type="dxa"/>
              <w:left w:w="100" w:type="dxa"/>
              <w:bottom w:w="0" w:type="dxa"/>
              <w:right w:w="100" w:type="dxa"/>
            </w:tcMar>
          </w:tcPr>
          <w:p w14:paraId="20D6AB1B" w14:textId="77777777" w:rsidR="00761594" w:rsidRDefault="00000000">
            <w:pPr>
              <w:rPr>
                <w:rFonts w:ascii="Calibri" w:eastAsia="Calibri" w:hAnsi="Calibri" w:cs="Calibri"/>
                <w:sz w:val="20"/>
                <w:szCs w:val="20"/>
              </w:rPr>
            </w:pPr>
            <w:r>
              <w:rPr>
                <w:rFonts w:ascii="Calibri" w:eastAsia="Calibri" w:hAnsi="Calibri" w:cs="Calibri"/>
                <w:sz w:val="20"/>
                <w:szCs w:val="20"/>
              </w:rPr>
              <w:t>[-0.08,0.05]</w:t>
            </w:r>
          </w:p>
        </w:tc>
        <w:tc>
          <w:tcPr>
            <w:tcW w:w="1500" w:type="dxa"/>
            <w:tcBorders>
              <w:top w:val="nil"/>
              <w:left w:val="nil"/>
              <w:bottom w:val="nil"/>
              <w:right w:val="nil"/>
            </w:tcBorders>
            <w:tcMar>
              <w:top w:w="0" w:type="dxa"/>
              <w:left w:w="100" w:type="dxa"/>
              <w:bottom w:w="0" w:type="dxa"/>
              <w:right w:w="100" w:type="dxa"/>
            </w:tcMar>
          </w:tcPr>
          <w:p w14:paraId="666EDEF5" w14:textId="77777777" w:rsidR="00761594" w:rsidRDefault="00000000">
            <w:pPr>
              <w:rPr>
                <w:rFonts w:ascii="Calibri" w:eastAsia="Calibri" w:hAnsi="Calibri" w:cs="Calibri"/>
                <w:sz w:val="20"/>
                <w:szCs w:val="20"/>
              </w:rPr>
            </w:pPr>
            <w:r>
              <w:rPr>
                <w:rFonts w:ascii="Calibri" w:eastAsia="Calibri" w:hAnsi="Calibri" w:cs="Calibri"/>
                <w:sz w:val="20"/>
                <w:szCs w:val="20"/>
              </w:rPr>
              <w:t>0.630</w:t>
            </w:r>
          </w:p>
        </w:tc>
      </w:tr>
      <w:tr w:rsidR="00761594" w14:paraId="5EF73C83" w14:textId="77777777">
        <w:trPr>
          <w:trHeight w:val="480"/>
        </w:trPr>
        <w:tc>
          <w:tcPr>
            <w:tcW w:w="2205" w:type="dxa"/>
            <w:tcBorders>
              <w:top w:val="nil"/>
              <w:left w:val="nil"/>
              <w:bottom w:val="single" w:sz="6" w:space="0" w:color="000000"/>
              <w:right w:val="nil"/>
            </w:tcBorders>
            <w:tcMar>
              <w:top w:w="0" w:type="dxa"/>
              <w:left w:w="100" w:type="dxa"/>
              <w:bottom w:w="0" w:type="dxa"/>
              <w:right w:w="100" w:type="dxa"/>
            </w:tcMar>
          </w:tcPr>
          <w:p w14:paraId="42EDB235" w14:textId="77777777" w:rsidR="00761594" w:rsidRDefault="00000000">
            <w:pPr>
              <w:rPr>
                <w:rFonts w:ascii="Calibri" w:eastAsia="Calibri" w:hAnsi="Calibri" w:cs="Calibri"/>
                <w:sz w:val="20"/>
                <w:szCs w:val="20"/>
              </w:rPr>
            </w:pPr>
            <w:r>
              <w:rPr>
                <w:rFonts w:ascii="Calibri" w:eastAsia="Calibri" w:hAnsi="Calibri" w:cs="Calibri"/>
                <w:sz w:val="20"/>
                <w:szCs w:val="20"/>
              </w:rPr>
              <w:t xml:space="preserve"> </w:t>
            </w:r>
          </w:p>
        </w:tc>
        <w:tc>
          <w:tcPr>
            <w:tcW w:w="1755" w:type="dxa"/>
            <w:tcBorders>
              <w:top w:val="nil"/>
              <w:left w:val="nil"/>
              <w:bottom w:val="single" w:sz="6" w:space="0" w:color="000000"/>
              <w:right w:val="nil"/>
            </w:tcBorders>
            <w:tcMar>
              <w:top w:w="0" w:type="dxa"/>
              <w:left w:w="100" w:type="dxa"/>
              <w:bottom w:w="0" w:type="dxa"/>
              <w:right w:w="100" w:type="dxa"/>
            </w:tcMar>
          </w:tcPr>
          <w:p w14:paraId="33DA6CDA" w14:textId="77777777" w:rsidR="00761594" w:rsidRDefault="00000000">
            <w:pPr>
              <w:rPr>
                <w:rFonts w:ascii="Calibri" w:eastAsia="Calibri" w:hAnsi="Calibri" w:cs="Calibri"/>
                <w:sz w:val="20"/>
                <w:szCs w:val="20"/>
              </w:rPr>
            </w:pPr>
            <w:r>
              <w:rPr>
                <w:rFonts w:ascii="Calibri" w:eastAsia="Calibri" w:hAnsi="Calibri" w:cs="Calibri"/>
                <w:sz w:val="20"/>
                <w:szCs w:val="20"/>
              </w:rPr>
              <w:t>N social partners</w:t>
            </w:r>
          </w:p>
        </w:tc>
        <w:tc>
          <w:tcPr>
            <w:tcW w:w="1245" w:type="dxa"/>
            <w:tcBorders>
              <w:top w:val="nil"/>
              <w:left w:val="nil"/>
              <w:bottom w:val="single" w:sz="6" w:space="0" w:color="000000"/>
              <w:right w:val="nil"/>
            </w:tcBorders>
            <w:tcMar>
              <w:top w:w="0" w:type="dxa"/>
              <w:left w:w="100" w:type="dxa"/>
              <w:bottom w:w="0" w:type="dxa"/>
              <w:right w:w="100" w:type="dxa"/>
            </w:tcMar>
          </w:tcPr>
          <w:p w14:paraId="5D8EB99D" w14:textId="77777777" w:rsidR="00761594" w:rsidRDefault="00000000">
            <w:pPr>
              <w:rPr>
                <w:rFonts w:ascii="Calibri" w:eastAsia="Calibri" w:hAnsi="Calibri" w:cs="Calibri"/>
                <w:sz w:val="20"/>
                <w:szCs w:val="20"/>
              </w:rPr>
            </w:pPr>
            <w:r>
              <w:rPr>
                <w:rFonts w:ascii="Calibri" w:eastAsia="Calibri" w:hAnsi="Calibri" w:cs="Calibri"/>
                <w:sz w:val="20"/>
                <w:szCs w:val="20"/>
              </w:rPr>
              <w:t>0.007</w:t>
            </w:r>
          </w:p>
        </w:tc>
        <w:tc>
          <w:tcPr>
            <w:tcW w:w="855" w:type="dxa"/>
            <w:tcBorders>
              <w:top w:val="nil"/>
              <w:left w:val="nil"/>
              <w:bottom w:val="single" w:sz="6" w:space="0" w:color="000000"/>
              <w:right w:val="nil"/>
            </w:tcBorders>
            <w:tcMar>
              <w:top w:w="0" w:type="dxa"/>
              <w:left w:w="100" w:type="dxa"/>
              <w:bottom w:w="0" w:type="dxa"/>
              <w:right w:w="100" w:type="dxa"/>
            </w:tcMar>
          </w:tcPr>
          <w:p w14:paraId="4773B4BF" w14:textId="77777777" w:rsidR="00761594" w:rsidRDefault="00000000">
            <w:pPr>
              <w:rPr>
                <w:rFonts w:ascii="Calibri" w:eastAsia="Calibri" w:hAnsi="Calibri" w:cs="Calibri"/>
                <w:sz w:val="20"/>
                <w:szCs w:val="20"/>
              </w:rPr>
            </w:pPr>
            <w:r>
              <w:rPr>
                <w:rFonts w:ascii="Calibri" w:eastAsia="Calibri" w:hAnsi="Calibri" w:cs="Calibri"/>
                <w:sz w:val="20"/>
                <w:szCs w:val="20"/>
              </w:rPr>
              <w:t>0.01</w:t>
            </w:r>
          </w:p>
        </w:tc>
        <w:tc>
          <w:tcPr>
            <w:tcW w:w="1575" w:type="dxa"/>
            <w:tcBorders>
              <w:top w:val="nil"/>
              <w:left w:val="nil"/>
              <w:bottom w:val="single" w:sz="6" w:space="0" w:color="000000"/>
              <w:right w:val="nil"/>
            </w:tcBorders>
            <w:tcMar>
              <w:top w:w="0" w:type="dxa"/>
              <w:left w:w="100" w:type="dxa"/>
              <w:bottom w:w="0" w:type="dxa"/>
              <w:right w:w="100" w:type="dxa"/>
            </w:tcMar>
          </w:tcPr>
          <w:p w14:paraId="3CE9CEC4" w14:textId="77777777" w:rsidR="00761594" w:rsidRDefault="00000000">
            <w:pPr>
              <w:rPr>
                <w:rFonts w:ascii="Calibri" w:eastAsia="Calibri" w:hAnsi="Calibri" w:cs="Calibri"/>
                <w:sz w:val="20"/>
                <w:szCs w:val="20"/>
              </w:rPr>
            </w:pPr>
            <w:r>
              <w:rPr>
                <w:rFonts w:ascii="Calibri" w:eastAsia="Calibri" w:hAnsi="Calibri" w:cs="Calibri"/>
                <w:sz w:val="20"/>
                <w:szCs w:val="20"/>
              </w:rPr>
              <w:t>[-0.01,0.03]</w:t>
            </w:r>
          </w:p>
        </w:tc>
        <w:tc>
          <w:tcPr>
            <w:tcW w:w="1500" w:type="dxa"/>
            <w:tcBorders>
              <w:top w:val="nil"/>
              <w:left w:val="nil"/>
              <w:bottom w:val="single" w:sz="6" w:space="0" w:color="000000"/>
              <w:right w:val="nil"/>
            </w:tcBorders>
            <w:tcMar>
              <w:top w:w="0" w:type="dxa"/>
              <w:left w:w="100" w:type="dxa"/>
              <w:bottom w:w="0" w:type="dxa"/>
              <w:right w:w="100" w:type="dxa"/>
            </w:tcMar>
          </w:tcPr>
          <w:p w14:paraId="70AE04B3" w14:textId="77777777" w:rsidR="00761594" w:rsidRDefault="00000000">
            <w:pPr>
              <w:rPr>
                <w:rFonts w:ascii="Calibri" w:eastAsia="Calibri" w:hAnsi="Calibri" w:cs="Calibri"/>
                <w:sz w:val="20"/>
                <w:szCs w:val="20"/>
              </w:rPr>
            </w:pPr>
            <w:r>
              <w:rPr>
                <w:rFonts w:ascii="Calibri" w:eastAsia="Calibri" w:hAnsi="Calibri" w:cs="Calibri"/>
                <w:sz w:val="20"/>
                <w:szCs w:val="20"/>
              </w:rPr>
              <w:t>0.476</w:t>
            </w:r>
          </w:p>
        </w:tc>
      </w:tr>
    </w:tbl>
    <w:p w14:paraId="4DD96699" w14:textId="77777777" w:rsidR="00761594" w:rsidRDefault="00761594">
      <w:pPr>
        <w:rPr>
          <w:rFonts w:ascii="Calibri" w:eastAsia="Calibri" w:hAnsi="Calibri" w:cs="Calibri"/>
        </w:rPr>
      </w:pPr>
    </w:p>
    <w:p w14:paraId="2841E2D6" w14:textId="77777777" w:rsidR="00761594" w:rsidRDefault="00761594">
      <w:pPr>
        <w:rPr>
          <w:rFonts w:ascii="Calibri" w:eastAsia="Calibri" w:hAnsi="Calibri" w:cs="Calibri"/>
        </w:rPr>
      </w:pPr>
    </w:p>
    <w:p w14:paraId="02A7EAC3" w14:textId="77777777" w:rsidR="00761594" w:rsidRDefault="00000000">
      <w:pPr>
        <w:rPr>
          <w:rFonts w:ascii="Calibri" w:eastAsia="Calibri" w:hAnsi="Calibri" w:cs="Calibri"/>
          <w:b/>
        </w:rPr>
      </w:pPr>
      <w:r>
        <w:rPr>
          <w:rFonts w:ascii="Calibri" w:eastAsia="Calibri" w:hAnsi="Calibri" w:cs="Calibri"/>
          <w:b/>
        </w:rPr>
        <w:t>Discussion</w:t>
      </w:r>
    </w:p>
    <w:p w14:paraId="7EE5E519" w14:textId="13E50377" w:rsidR="00761594" w:rsidRDefault="00000000">
      <w:pPr>
        <w:ind w:firstLine="720"/>
        <w:rPr>
          <w:rFonts w:ascii="Calibri" w:eastAsia="Calibri" w:hAnsi="Calibri" w:cs="Calibri"/>
        </w:rPr>
      </w:pPr>
      <w:r>
        <w:rPr>
          <w:rFonts w:ascii="Calibri" w:eastAsia="Calibri" w:hAnsi="Calibri" w:cs="Calibri"/>
        </w:rPr>
        <w:t xml:space="preserve">In this study, we aimed to evaluate the energetics of cellular immune activity during development in a wild primate, considering both its potential energetic costs and constraints. Evidence of the costs of cellular immunity was limited to short term growth: elevated concentrations of neopterin were unrelated to growth from month to month, however they corresponded with less growth over shorter time intervals. Juveniles with higher neopterin rested </w:t>
      </w:r>
      <w:r w:rsidR="003B4E97">
        <w:rPr>
          <w:rFonts w:ascii="Calibri" w:eastAsia="Calibri" w:hAnsi="Calibri" w:cs="Calibri"/>
        </w:rPr>
        <w:t>more but</w:t>
      </w:r>
      <w:r>
        <w:rPr>
          <w:rFonts w:ascii="Calibri" w:eastAsia="Calibri" w:hAnsi="Calibri" w:cs="Calibri"/>
        </w:rPr>
        <w:t xml:space="preserve"> did not change time spent feeding or locomoting. In addition to its cost in relation to short-term growth, cellular immune activity appeared to be limited by individual body condition: both estimated lean body mass (creatine-SG residual) and energy balance (urinary </w:t>
      </w:r>
      <w:r w:rsidR="002C1B12">
        <w:rPr>
          <w:rFonts w:ascii="Calibri" w:eastAsia="Calibri" w:hAnsi="Calibri" w:cs="Calibri"/>
        </w:rPr>
        <w:t>C-peptide</w:t>
      </w:r>
      <w:r>
        <w:rPr>
          <w:rFonts w:ascii="Calibri" w:eastAsia="Calibri" w:hAnsi="Calibri" w:cs="Calibri"/>
        </w:rPr>
        <w:t xml:space="preserve">) corresponded positively with neopterin concentrations, independently of any individual attribute, or environmental and social factors. This apparent energetic constraint on cellular immunity was only weakly mediated by anti-inflammatory effects of glucocorticoids that increased in low energy conditions. </w:t>
      </w:r>
      <w:r w:rsidR="003B4E97">
        <w:rPr>
          <w:rFonts w:ascii="Calibri" w:eastAsia="Calibri" w:hAnsi="Calibri" w:cs="Calibri"/>
        </w:rPr>
        <w:t>Overall,</w:t>
      </w:r>
      <w:r>
        <w:rPr>
          <w:rFonts w:ascii="Calibri" w:eastAsia="Calibri" w:hAnsi="Calibri" w:cs="Calibri"/>
        </w:rPr>
        <w:t xml:space="preserve"> these energetic dynamics of immune activity suggest that immunity is not generally prioritized over growth during development in blue monkeys and can in fact be energetically constrained. We discuss the energetic costs and constraints on immune activity in detail and in the context of current literature.</w:t>
      </w:r>
    </w:p>
    <w:p w14:paraId="5492DB02" w14:textId="3A1A122C" w:rsidR="00761594" w:rsidRDefault="00000000">
      <w:pPr>
        <w:rPr>
          <w:rFonts w:ascii="Calibri" w:eastAsia="Calibri" w:hAnsi="Calibri" w:cs="Calibri"/>
          <w:highlight w:val="white"/>
        </w:rPr>
      </w:pPr>
      <w:r>
        <w:rPr>
          <w:rFonts w:ascii="Calibri" w:eastAsia="Calibri" w:hAnsi="Calibri" w:cs="Calibri"/>
        </w:rPr>
        <w:tab/>
        <w:t xml:space="preserve">Cellular immune activity, as measured by concentrations of urinary neopterin, did not influence changes in estimated lean body mass from month to month in juvenile blue monkeys, however, it did acutely inhibit growth. Increased resting did not account for lower short-term growth, as creatinine excretion, which served as the basis of lean body mass estimates, was unrelated to physical activity. The timescale of neopterin’s influence on growth in lean body mass suggests that developmental growth was able to compensate quickly for short term setbacks. Despite a general gap in animal physiological literature on the time scale of immune costs to developmental growth, these results do align with literature demonstrating that growth is highly prioritized during development. </w:t>
      </w:r>
      <w:r>
        <w:rPr>
          <w:rFonts w:ascii="Calibri" w:eastAsia="Calibri" w:hAnsi="Calibri" w:cs="Calibri"/>
          <w:highlight w:val="white"/>
        </w:rPr>
        <w:t xml:space="preserve">In chickens selected for enhanced immune function, there was little observed trade-off with growth </w:t>
      </w:r>
      <w:hyperlink r:id="rId67">
        <w:r>
          <w:rPr>
            <w:rFonts w:ascii="Calibri" w:eastAsia="Calibri" w:hAnsi="Calibri" w:cs="Calibri"/>
          </w:rPr>
          <w:t>(van der Most et al., 2011)</w:t>
        </w:r>
      </w:hyperlink>
      <w:r>
        <w:rPr>
          <w:rFonts w:ascii="Calibri" w:eastAsia="Calibri" w:hAnsi="Calibri" w:cs="Calibri"/>
          <w:highlight w:val="white"/>
        </w:rPr>
        <w:t xml:space="preserve">. In human forager-horticulturalists, inflammatory immune activity also showed trade-offs in childhood height velocity over </w:t>
      </w:r>
      <w:r w:rsidR="003B4E97">
        <w:rPr>
          <w:rFonts w:ascii="Calibri" w:eastAsia="Calibri" w:hAnsi="Calibri" w:cs="Calibri"/>
          <w:highlight w:val="white"/>
        </w:rPr>
        <w:t>1-week</w:t>
      </w:r>
      <w:r>
        <w:rPr>
          <w:rFonts w:ascii="Calibri" w:eastAsia="Calibri" w:hAnsi="Calibri" w:cs="Calibri"/>
          <w:highlight w:val="white"/>
        </w:rPr>
        <w:t xml:space="preserve"> intervals, however did not affect longer-term changes in height </w:t>
      </w:r>
      <w:hyperlink r:id="rId68">
        <w:r>
          <w:rPr>
            <w:rFonts w:ascii="Calibri" w:eastAsia="Calibri" w:hAnsi="Calibri" w:cs="Calibri"/>
          </w:rPr>
          <w:t>(Urlacher et al., 2018)</w:t>
        </w:r>
      </w:hyperlink>
      <w:r>
        <w:rPr>
          <w:rFonts w:ascii="Calibri" w:eastAsia="Calibri" w:hAnsi="Calibri" w:cs="Calibri"/>
          <w:highlight w:val="white"/>
        </w:rPr>
        <w:t>.</w:t>
      </w:r>
    </w:p>
    <w:p w14:paraId="20E8ADED" w14:textId="77777777" w:rsidR="00761594" w:rsidRDefault="00000000">
      <w:pPr>
        <w:rPr>
          <w:rFonts w:ascii="Calibri" w:eastAsia="Calibri" w:hAnsi="Calibri" w:cs="Calibri"/>
          <w:highlight w:val="white"/>
        </w:rPr>
      </w:pPr>
      <w:r>
        <w:rPr>
          <w:rFonts w:ascii="Calibri" w:eastAsia="Calibri" w:hAnsi="Calibri" w:cs="Calibri"/>
          <w:highlight w:val="white"/>
        </w:rPr>
        <w:tab/>
        <w:t xml:space="preserve">However costly, cellular immune activity also appeared constrained by body condition in juvenile blue monkeys. </w:t>
      </w:r>
      <w:r>
        <w:rPr>
          <w:rFonts w:ascii="Calibri" w:eastAsia="Calibri" w:hAnsi="Calibri" w:cs="Calibri"/>
        </w:rPr>
        <w:t xml:space="preserve">Lower energy balance and lean body mass both corresponded with lower neopterin levels. This relationship was independent of seasonal and social variables that represent potential pathogen exposure, i.e. monthly rainfall and an individual’s number of social partners, which were unrelated to neopterin concentrations. Although seasonal effects on immune function are abundant in the animal literature, evidence for a direct effect of energetic constraints is rare. For example, prairie voles decrease body mass and IgG production during short-day photoperiods </w:t>
      </w:r>
      <w:hyperlink r:id="rId69">
        <w:r>
          <w:rPr>
            <w:rFonts w:ascii="Calibri" w:eastAsia="Calibri" w:hAnsi="Calibri" w:cs="Calibri"/>
          </w:rPr>
          <w:t>(Nelson et al., 1996)</w:t>
        </w:r>
      </w:hyperlink>
      <w:r>
        <w:rPr>
          <w:rFonts w:ascii="Calibri" w:eastAsia="Calibri" w:hAnsi="Calibri" w:cs="Calibri"/>
        </w:rPr>
        <w:t xml:space="preserve">, however these effects are likely driven by seasonal reproductive regression and </w:t>
      </w:r>
      <w:r>
        <w:rPr>
          <w:rFonts w:ascii="Calibri" w:eastAsia="Calibri" w:hAnsi="Calibri" w:cs="Calibri"/>
        </w:rPr>
        <w:lastRenderedPageBreak/>
        <w:t xml:space="preserve">corresponding changes in androgens </w:t>
      </w:r>
      <w:hyperlink r:id="rId70">
        <w:r>
          <w:rPr>
            <w:rFonts w:ascii="Calibri" w:eastAsia="Calibri" w:hAnsi="Calibri" w:cs="Calibri"/>
          </w:rPr>
          <w:t>(Dark et al., 1983; Nelson et al., 1996)</w:t>
        </w:r>
      </w:hyperlink>
      <w:r>
        <w:rPr>
          <w:rFonts w:ascii="Calibri" w:eastAsia="Calibri" w:hAnsi="Calibri" w:cs="Calibri"/>
        </w:rPr>
        <w:t xml:space="preserve">. Other animals, such as Siberian hamsters, have demonstrated a direct effect of energy on immunity, such that experimental reductions in circulating energy availability directly reduced humoral immune function </w:t>
      </w:r>
      <w:hyperlink r:id="rId71">
        <w:r>
          <w:rPr>
            <w:rFonts w:ascii="Calibri" w:eastAsia="Calibri" w:hAnsi="Calibri" w:cs="Calibri"/>
          </w:rPr>
          <w:t>(Zysling &amp; Demas, 2007)</w:t>
        </w:r>
      </w:hyperlink>
      <w:r>
        <w:rPr>
          <w:rFonts w:ascii="Calibri" w:eastAsia="Calibri" w:hAnsi="Calibri" w:cs="Calibri"/>
        </w:rPr>
        <w:t xml:space="preserve">. Similarly, </w:t>
      </w:r>
      <w:r>
        <w:rPr>
          <w:rFonts w:ascii="Calibri" w:eastAsia="Calibri" w:hAnsi="Calibri" w:cs="Calibri"/>
          <w:highlight w:val="white"/>
        </w:rPr>
        <w:t xml:space="preserve">in healthy and non-obese human adults, caloric restriction lowers total WBC and lymphocyte counts </w:t>
      </w:r>
      <w:hyperlink r:id="rId72">
        <w:r>
          <w:rPr>
            <w:rFonts w:ascii="Calibri" w:eastAsia="Calibri" w:hAnsi="Calibri" w:cs="Calibri"/>
          </w:rPr>
          <w:t>(Meydani et al., 2016)</w:t>
        </w:r>
      </w:hyperlink>
      <w:r>
        <w:rPr>
          <w:rFonts w:ascii="Calibri" w:eastAsia="Calibri" w:hAnsi="Calibri" w:cs="Calibri"/>
          <w:highlight w:val="white"/>
        </w:rPr>
        <w:t xml:space="preserve">. </w:t>
      </w:r>
    </w:p>
    <w:p w14:paraId="19651A8B" w14:textId="77777777" w:rsidR="00761594" w:rsidRDefault="00000000">
      <w:pPr>
        <w:ind w:firstLine="720"/>
        <w:rPr>
          <w:rFonts w:ascii="Calibri" w:eastAsia="Calibri" w:hAnsi="Calibri" w:cs="Calibri"/>
          <w:highlight w:val="white"/>
        </w:rPr>
      </w:pPr>
      <w:r>
        <w:rPr>
          <w:rFonts w:ascii="Calibri" w:eastAsia="Calibri" w:hAnsi="Calibri" w:cs="Calibri"/>
          <w:highlight w:val="white"/>
        </w:rPr>
        <w:t xml:space="preserve">An alternative explanation for the positive relationship observed between immune activity and energy balance could involve the consumption of foods that are energetically dense yet found in areas that pose high infection risk, such as anthropogenic food sources </w:t>
      </w:r>
      <w:hyperlink r:id="rId73">
        <w:r>
          <w:rPr>
            <w:rFonts w:ascii="Calibri" w:eastAsia="Calibri" w:hAnsi="Calibri" w:cs="Calibri"/>
          </w:rPr>
          <w:t>(Becker et al., 2015)</w:t>
        </w:r>
      </w:hyperlink>
      <w:r>
        <w:rPr>
          <w:rFonts w:ascii="Calibri" w:eastAsia="Calibri" w:hAnsi="Calibri" w:cs="Calibri"/>
          <w:highlight w:val="white"/>
        </w:rPr>
        <w:t>. Although better nutrition from calorically dense foods may augment healthy immune function, initial exposures to anthropogenic pathogens nevertheless heighten immune activity. This could be particularly true of young individuals that are encountering certain pathogens for the first time. In this study’s population, the home ranges of multiple study groups overlaps with a forest station and tree nursery that contains a large oil palm with high fat fruits</w:t>
      </w:r>
      <w:r>
        <w:rPr>
          <w:rFonts w:ascii="Calibri" w:eastAsia="Calibri" w:hAnsi="Calibri" w:cs="Calibri"/>
        </w:rPr>
        <w:t xml:space="preserve"> </w:t>
      </w:r>
      <w:hyperlink r:id="rId74">
        <w:r>
          <w:rPr>
            <w:rFonts w:ascii="Calibri" w:eastAsia="Calibri" w:hAnsi="Calibri" w:cs="Calibri"/>
          </w:rPr>
          <w:t>(Takahashi et al., 2019)</w:t>
        </w:r>
      </w:hyperlink>
      <w:r>
        <w:rPr>
          <w:rFonts w:ascii="Calibri" w:eastAsia="Calibri" w:hAnsi="Calibri" w:cs="Calibri"/>
          <w:highlight w:val="white"/>
        </w:rPr>
        <w:t>. When feeding in this area, animals may consume abundant calories, however they are exposed to anthropogenic disturbance and potential one-on-one interactions with humans. Future analyses could analyze whether the relationship of immune activity and energy balance is indirectly driven, in part, by the differential use of habitats and the nutritional content of diets consumed therein.</w:t>
      </w:r>
    </w:p>
    <w:p w14:paraId="56B7F7DF" w14:textId="77777777" w:rsidR="00761594" w:rsidRDefault="00000000">
      <w:pPr>
        <w:ind w:firstLine="720"/>
        <w:rPr>
          <w:rFonts w:ascii="Calibri" w:eastAsia="Calibri" w:hAnsi="Calibri" w:cs="Calibri"/>
        </w:rPr>
      </w:pPr>
      <w:r>
        <w:rPr>
          <w:rFonts w:ascii="Calibri" w:eastAsia="Calibri" w:hAnsi="Calibri" w:cs="Calibri"/>
        </w:rPr>
        <w:t xml:space="preserve">The relationship of physical condition and immune activity in juvenile blue monkeys was not substantially mediated by the immunosuppressive effects of elevated glucocorticoids during low energy states, similar to results found in Siberian hamsters </w:t>
      </w:r>
      <w:hyperlink r:id="rId75">
        <w:r>
          <w:rPr>
            <w:rFonts w:ascii="Calibri" w:eastAsia="Calibri" w:hAnsi="Calibri" w:cs="Calibri"/>
          </w:rPr>
          <w:t>(Zysling &amp; Demas, 2007)</w:t>
        </w:r>
      </w:hyperlink>
      <w:r>
        <w:rPr>
          <w:rFonts w:ascii="Calibri" w:eastAsia="Calibri" w:hAnsi="Calibri" w:cs="Calibri"/>
        </w:rPr>
        <w:t>. This evidence is consistent with the hypothesis that low energy, in the form of low glucose, may directly constrain immune activity, however other mediating factors could be at play. For example, fasting leads to lower levels of circulating leptin in rodents (Lord 1998; Xu Wang 2010), which is essential for maintenance of cell-mediated immunity (McDade; 2003). The mediating role of adipose tissue and leptin have yet to be evaluated in the study population.</w:t>
      </w:r>
      <w:r>
        <w:rPr>
          <w:rFonts w:ascii="Calibri" w:eastAsia="Calibri" w:hAnsi="Calibri" w:cs="Calibri"/>
          <w:highlight w:val="white"/>
        </w:rPr>
        <w:t xml:space="preserve"> </w:t>
      </w:r>
      <w:r>
        <w:rPr>
          <w:rFonts w:ascii="Calibri" w:eastAsia="Calibri" w:hAnsi="Calibri" w:cs="Calibri"/>
        </w:rPr>
        <w:t>Our findings suggest that glucocorticoids are not a primary mediator responsible for lower neopterin with lower energy balance, however we do not rule out their role entirely. Measures of urinary glucocorticoids, rather than fecal metabolites, would allow for finer temporal pairings between markers of HPA axis activity and urinary markers of energy balance and immune activity, to potentially reveal stronger associations.</w:t>
      </w:r>
    </w:p>
    <w:p w14:paraId="6AAD1ABF" w14:textId="77777777" w:rsidR="00761594" w:rsidRDefault="00000000">
      <w:pPr>
        <w:ind w:firstLine="720"/>
        <w:rPr>
          <w:rFonts w:ascii="Calibri" w:eastAsia="Calibri" w:hAnsi="Calibri" w:cs="Calibri"/>
        </w:rPr>
      </w:pPr>
      <w:r>
        <w:rPr>
          <w:rFonts w:ascii="Calibri" w:eastAsia="Calibri" w:hAnsi="Calibri" w:cs="Calibri"/>
        </w:rPr>
        <w:t xml:space="preserve">Our study is limited by the difficulty of differentiating immune activity and immune function </w:t>
      </w:r>
      <w:r>
        <w:rPr>
          <w:rFonts w:ascii="Calibri" w:eastAsia="Calibri" w:hAnsi="Calibri" w:cs="Calibri"/>
          <w:i/>
        </w:rPr>
        <w:t>per se</w:t>
      </w:r>
      <w:r>
        <w:rPr>
          <w:rFonts w:ascii="Calibri" w:eastAsia="Calibri" w:hAnsi="Calibri" w:cs="Calibri"/>
        </w:rPr>
        <w:t xml:space="preserve"> in an observational study. Juveniles’ true infection status or pathogen exposure was unknown, therefore low concentrations of markers for immune activity could indicate a relatively healthy state, free of infection, or an immunosuppressed state, which would respond insufficiently to infection. Independent markers of infection status (e.g., experimentally induced infection, antigen-specific antibodies) and immune function (e.g., challenge tests), would allow for a more precise evaluation of the costs of activity and energetic limitations on function. Nevertheless, two aspects of this study bolster our interpretations. First, monthly average markers of immune activity provide a more integrative measure of investment in immune activity than single samples. Second, we control for environmental and social dimensions of pathogen exposure in analyzing the energetic constraints of immune activity (Tables 2 &amp; 4). Together, these methods and controls allow us a degree of confidence that individuals in poorer body condition, i.e. with lower body mass for a given age and energy balance, face energetic limitations to cellular immune activity and function.</w:t>
      </w:r>
    </w:p>
    <w:p w14:paraId="0DE81171" w14:textId="77777777" w:rsidR="00761594" w:rsidRDefault="00000000">
      <w:pPr>
        <w:ind w:firstLine="720"/>
        <w:rPr>
          <w:rFonts w:ascii="Calibri" w:eastAsia="Calibri" w:hAnsi="Calibri" w:cs="Calibri"/>
          <w:color w:val="0000FF"/>
        </w:rPr>
      </w:pPr>
      <w:r>
        <w:rPr>
          <w:rFonts w:ascii="Calibri" w:eastAsia="Calibri" w:hAnsi="Calibri" w:cs="Calibri"/>
        </w:rPr>
        <w:lastRenderedPageBreak/>
        <w:t xml:space="preserve">It is possible that energetic limitations on immune activity are a particular risk for developing individuals, given the high priority given to physical growth during development. During adulthood, a primary competing demand to immunity and somatic maintenance is reproduction, which can be delayed or terminated </w:t>
      </w:r>
      <w:hyperlink r:id="rId76">
        <w:r>
          <w:rPr>
            <w:rFonts w:ascii="Calibri" w:eastAsia="Calibri" w:hAnsi="Calibri" w:cs="Calibri"/>
          </w:rPr>
          <w:t>(Emery Thompson, 2013)</w:t>
        </w:r>
      </w:hyperlink>
      <w:r>
        <w:rPr>
          <w:rFonts w:ascii="Calibri" w:eastAsia="Calibri" w:hAnsi="Calibri" w:cs="Calibri"/>
        </w:rPr>
        <w:t xml:space="preserve"> with arguably fewer impacts to lifetime fitness than stunted growth  </w:t>
      </w:r>
      <w:hyperlink r:id="rId77">
        <w:r>
          <w:rPr>
            <w:rFonts w:ascii="Calibri" w:eastAsia="Calibri" w:hAnsi="Calibri" w:cs="Calibri"/>
          </w:rPr>
          <w:t>(Blanckenhorn, 2005; Prendergast &amp; Humphrey, 2014)</w:t>
        </w:r>
      </w:hyperlink>
      <w:r>
        <w:rPr>
          <w:rFonts w:ascii="Calibri" w:eastAsia="Calibri" w:hAnsi="Calibri" w:cs="Calibri"/>
        </w:rPr>
        <w:t xml:space="preserve"> or the costs associated with compensatory growth </w:t>
      </w:r>
      <w:hyperlink r:id="rId78">
        <w:r>
          <w:rPr>
            <w:rFonts w:ascii="Calibri" w:eastAsia="Calibri" w:hAnsi="Calibri" w:cs="Calibri"/>
          </w:rPr>
          <w:t>(Hector &amp; Nakagawa, 2012; Lin et al., 2022)</w:t>
        </w:r>
      </w:hyperlink>
      <w:r>
        <w:rPr>
          <w:rFonts w:ascii="Calibri" w:eastAsia="Calibri" w:hAnsi="Calibri" w:cs="Calibri"/>
        </w:rPr>
        <w:t xml:space="preserve">. Further, juveniles may be particularly susceptible to the negative consequences resulting from energetic constraints on immune activity because of their immunological naïveté </w:t>
      </w:r>
      <w:hyperlink r:id="rId79">
        <w:r>
          <w:rPr>
            <w:rFonts w:ascii="Calibri" w:eastAsia="Calibri" w:hAnsi="Calibri" w:cs="Calibri"/>
          </w:rPr>
          <w:t>(Altizer et al., 2006)</w:t>
        </w:r>
      </w:hyperlink>
      <w:r>
        <w:rPr>
          <w:rFonts w:ascii="Calibri" w:eastAsia="Calibri" w:hAnsi="Calibri" w:cs="Calibri"/>
        </w:rPr>
        <w:t xml:space="preserve"> and their corresponding need to sustain higher WBC counts than adults </w:t>
      </w:r>
      <w:hyperlink r:id="rId80">
        <w:r>
          <w:rPr>
            <w:rFonts w:ascii="Calibri" w:eastAsia="Calibri" w:hAnsi="Calibri" w:cs="Calibri"/>
          </w:rPr>
          <w:t>(Nunn et al., 2009)</w:t>
        </w:r>
      </w:hyperlink>
      <w:r>
        <w:rPr>
          <w:rFonts w:ascii="Calibri" w:eastAsia="Calibri" w:hAnsi="Calibri" w:cs="Calibri"/>
        </w:rPr>
        <w:t xml:space="preserve">. For this reason, a population or social group with a greater number of juveniles may overall become more susceptible to disease spread during food scarcity </w:t>
      </w:r>
      <w:hyperlink r:id="rId81">
        <w:r>
          <w:rPr>
            <w:rFonts w:ascii="Calibri" w:eastAsia="Calibri" w:hAnsi="Calibri" w:cs="Calibri"/>
          </w:rPr>
          <w:t>(Altizer et al., 2006)</w:t>
        </w:r>
      </w:hyperlink>
      <w:r>
        <w:rPr>
          <w:rFonts w:ascii="Calibri" w:eastAsia="Calibri" w:hAnsi="Calibri" w:cs="Calibri"/>
        </w:rPr>
        <w:t>.</w:t>
      </w:r>
    </w:p>
    <w:p w14:paraId="1AF1DFCA" w14:textId="77777777" w:rsidR="00761594" w:rsidRDefault="00761594">
      <w:pPr>
        <w:rPr>
          <w:rFonts w:ascii="Calibri" w:eastAsia="Calibri" w:hAnsi="Calibri" w:cs="Calibri"/>
        </w:rPr>
      </w:pPr>
    </w:p>
    <w:p w14:paraId="4C2303A7" w14:textId="77777777" w:rsidR="00761594" w:rsidRDefault="00000000">
      <w:pPr>
        <w:rPr>
          <w:rFonts w:ascii="Calibri" w:eastAsia="Calibri" w:hAnsi="Calibri" w:cs="Calibri"/>
        </w:rPr>
      </w:pPr>
      <w:r>
        <w:rPr>
          <w:rFonts w:ascii="Calibri" w:eastAsia="Calibri" w:hAnsi="Calibri" w:cs="Calibri"/>
          <w:b/>
        </w:rPr>
        <w:t>Conclusions</w:t>
      </w:r>
      <w:r>
        <w:rPr>
          <w:rFonts w:ascii="Calibri" w:eastAsia="Calibri" w:hAnsi="Calibri" w:cs="Calibri"/>
        </w:rPr>
        <w:t xml:space="preserve"> </w:t>
      </w:r>
    </w:p>
    <w:p w14:paraId="764FEB24" w14:textId="720F70D8" w:rsidR="00761594" w:rsidRDefault="00000000">
      <w:pPr>
        <w:rPr>
          <w:rFonts w:ascii="Calibri" w:eastAsia="Calibri" w:hAnsi="Calibri" w:cs="Calibri"/>
          <w:color w:val="212529"/>
          <w:highlight w:val="white"/>
        </w:rPr>
      </w:pPr>
      <w:r>
        <w:rPr>
          <w:rFonts w:ascii="Calibri" w:eastAsia="Calibri" w:hAnsi="Calibri" w:cs="Calibri"/>
          <w:highlight w:val="white"/>
        </w:rPr>
        <w:t xml:space="preserve">We find here that although cellular immune activity appears to pose weak costs to developmental growth in the short term for blue monkeys, immunity is not entirely prioritized over growth and instead constrained by aspects of body condition, including energy balance and lean body mass. </w:t>
      </w:r>
      <w:r w:rsidR="00E176B4">
        <w:rPr>
          <w:rFonts w:ascii="Calibri" w:eastAsia="Calibri" w:hAnsi="Calibri" w:cs="Calibri"/>
          <w:highlight w:val="white"/>
        </w:rPr>
        <w:t>E</w:t>
      </w:r>
      <w:r>
        <w:rPr>
          <w:rFonts w:ascii="Calibri" w:eastAsia="Calibri" w:hAnsi="Calibri" w:cs="Calibri"/>
          <w:highlight w:val="white"/>
        </w:rPr>
        <w:t xml:space="preserve">nergy availability </w:t>
      </w:r>
      <w:r w:rsidR="00E176B4">
        <w:rPr>
          <w:rFonts w:ascii="Calibri" w:eastAsia="Calibri" w:hAnsi="Calibri" w:cs="Calibri"/>
          <w:highlight w:val="white"/>
        </w:rPr>
        <w:t xml:space="preserve">played a stronger role </w:t>
      </w:r>
      <w:r>
        <w:rPr>
          <w:rFonts w:ascii="Calibri" w:eastAsia="Calibri" w:hAnsi="Calibri" w:cs="Calibri"/>
          <w:highlight w:val="white"/>
        </w:rPr>
        <w:t xml:space="preserve">in levels of immune activity than other </w:t>
      </w:r>
      <w:r w:rsidR="00E176B4">
        <w:rPr>
          <w:rFonts w:ascii="Calibri" w:eastAsia="Calibri" w:hAnsi="Calibri" w:cs="Calibri"/>
          <w:highlight w:val="white"/>
        </w:rPr>
        <w:t xml:space="preserve">individual, </w:t>
      </w:r>
      <w:r>
        <w:rPr>
          <w:rFonts w:ascii="Calibri" w:eastAsia="Calibri" w:hAnsi="Calibri" w:cs="Calibri"/>
          <w:highlight w:val="white"/>
        </w:rPr>
        <w:t xml:space="preserve">ecological or social environmental factors. Our study raises implications for the conservation of wild populations in seasonal and resource poor environments, particularly those with a high proportion of immature individuals. The costs and constraints of immune activity and its relationship to body condition during development, broadly, will likely depend on the life history of a species, such that species with relatively prolonged developmental periods may be more resistant to energetic limitations on achieving healthy adult size, </w:t>
      </w:r>
      <w:r w:rsidR="003B4E97">
        <w:rPr>
          <w:rFonts w:ascii="Calibri" w:eastAsia="Calibri" w:hAnsi="Calibri" w:cs="Calibri"/>
          <w:highlight w:val="white"/>
        </w:rPr>
        <w:t>however,</w:t>
      </w:r>
      <w:r>
        <w:rPr>
          <w:rFonts w:ascii="Calibri" w:eastAsia="Calibri" w:hAnsi="Calibri" w:cs="Calibri"/>
          <w:highlight w:val="white"/>
        </w:rPr>
        <w:t xml:space="preserve"> may nevertheless be more susceptible to infection in low energy states. The mechanisms of energetic constraints on immunity during development in blue monkeys are still unclear. Fine-scale temporal pairing of measures of HPA activity with energy balance and lean body mass will help determine the role of glucocorticoids in immunosuppression. Further, future research to develop non-invasive techniques of measuring adipose tissue and circulating leptin will aid in determining whether depleted fat stores are critical to limiting cellular immunity in wild mammal populations. Examining these relationships between energy balance, growth, and immune activity will be valuable to identify potential threats to individual and population level health.</w:t>
      </w:r>
    </w:p>
    <w:p w14:paraId="72FCBD3C" w14:textId="77777777" w:rsidR="00761594" w:rsidRDefault="00761594">
      <w:pPr>
        <w:rPr>
          <w:rFonts w:ascii="Calibri" w:eastAsia="Calibri" w:hAnsi="Calibri" w:cs="Calibri"/>
        </w:rPr>
      </w:pPr>
    </w:p>
    <w:p w14:paraId="64F49C0F" w14:textId="77777777" w:rsidR="00761594" w:rsidRDefault="00761594">
      <w:pPr>
        <w:rPr>
          <w:rFonts w:ascii="Calibri" w:eastAsia="Calibri" w:hAnsi="Calibri" w:cs="Calibri"/>
        </w:rPr>
      </w:pPr>
    </w:p>
    <w:p w14:paraId="1713CFA2" w14:textId="77777777" w:rsidR="00761594" w:rsidRDefault="00000000">
      <w:pPr>
        <w:rPr>
          <w:rFonts w:ascii="Calibri" w:eastAsia="Calibri" w:hAnsi="Calibri" w:cs="Calibri"/>
          <w:b/>
        </w:rPr>
      </w:pPr>
      <w:r>
        <w:rPr>
          <w:rFonts w:ascii="Calibri" w:eastAsia="Calibri" w:hAnsi="Calibri" w:cs="Calibri"/>
          <w:b/>
        </w:rPr>
        <w:t>References</w:t>
      </w:r>
    </w:p>
    <w:p w14:paraId="6E1127B5"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82">
        <w:r>
          <w:t xml:space="preserve">Altizer, S., Dobson, A., Hosseini, P., Hudson, P., Pascual, M., &amp; Rohani, P. (2006). Seasonality and the dynamics of infectious diseases. </w:t>
        </w:r>
      </w:hyperlink>
      <w:hyperlink r:id="rId83">
        <w:r>
          <w:rPr>
            <w:i/>
          </w:rPr>
          <w:t>Ecology Letters</w:t>
        </w:r>
      </w:hyperlink>
      <w:hyperlink r:id="rId84">
        <w:r>
          <w:t xml:space="preserve">, </w:t>
        </w:r>
      </w:hyperlink>
      <w:hyperlink r:id="rId85">
        <w:r>
          <w:rPr>
            <w:i/>
          </w:rPr>
          <w:t>9</w:t>
        </w:r>
      </w:hyperlink>
      <w:hyperlink r:id="rId86">
        <w:r>
          <w:t>(4), 467–484. https://doi.org/10.1111/j.1461-0248.2005.00879.x</w:t>
        </w:r>
      </w:hyperlink>
    </w:p>
    <w:p w14:paraId="232D2AE4"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87">
        <w:r>
          <w:t xml:space="preserve">Barr, D. P., Cecil, R. L., &amp; Du Bois, E. F. (1922). Clinical calorimetry XXXII: Temperature regulation after the intravenous injection of proteose and typhoid vaccine. </w:t>
        </w:r>
      </w:hyperlink>
      <w:hyperlink r:id="rId88">
        <w:r>
          <w:rPr>
            <w:i/>
          </w:rPr>
          <w:t xml:space="preserve">Archives of </w:t>
        </w:r>
        <w:r>
          <w:rPr>
            <w:i/>
          </w:rPr>
          <w:lastRenderedPageBreak/>
          <w:t>Internal Medicine</w:t>
        </w:r>
      </w:hyperlink>
      <w:hyperlink r:id="rId89">
        <w:r>
          <w:t xml:space="preserve">, </w:t>
        </w:r>
      </w:hyperlink>
      <w:hyperlink r:id="rId90">
        <w:r>
          <w:rPr>
            <w:i/>
          </w:rPr>
          <w:t>29</w:t>
        </w:r>
      </w:hyperlink>
      <w:hyperlink r:id="rId91">
        <w:r>
          <w:t>(5), 608–634. https://doi.org/10.1001/archinte.1922.00110050055004</w:t>
        </w:r>
      </w:hyperlink>
    </w:p>
    <w:p w14:paraId="16D3221B"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92">
        <w:r>
          <w:t xml:space="preserve">Bartness, T. J., Demas, G. E., &amp; Song, C. K. (2002). Seasonal Changes in Adiposity: The Roles of the Photoperiod, Melatonin and Other Hormones, and Sympathetic Nervous System. </w:t>
        </w:r>
      </w:hyperlink>
      <w:hyperlink r:id="rId93">
        <w:r>
          <w:rPr>
            <w:i/>
          </w:rPr>
          <w:t>Experimental Biology and Medicine</w:t>
        </w:r>
      </w:hyperlink>
      <w:hyperlink r:id="rId94">
        <w:r>
          <w:t xml:space="preserve">, </w:t>
        </w:r>
      </w:hyperlink>
      <w:hyperlink r:id="rId95">
        <w:r>
          <w:rPr>
            <w:i/>
          </w:rPr>
          <w:t>227</w:t>
        </w:r>
      </w:hyperlink>
      <w:hyperlink r:id="rId96">
        <w:r>
          <w:t>(6), 363–376. https://doi.org/10.1177/153537020222700601</w:t>
        </w:r>
      </w:hyperlink>
    </w:p>
    <w:p w14:paraId="3CD01EE8"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97">
        <w:r>
          <w:t xml:space="preserve">Becker, D. J., Streicker, D. G., &amp; Altizer, S. (2015). Linking anthropogenic resources to wildlife–pathogen dynamics: A review and meta-analysis. </w:t>
        </w:r>
      </w:hyperlink>
      <w:hyperlink r:id="rId98">
        <w:r>
          <w:rPr>
            <w:i/>
          </w:rPr>
          <w:t>Ecology Letters</w:t>
        </w:r>
      </w:hyperlink>
      <w:hyperlink r:id="rId99">
        <w:r>
          <w:t xml:space="preserve">, </w:t>
        </w:r>
      </w:hyperlink>
      <w:hyperlink r:id="rId100">
        <w:r>
          <w:rPr>
            <w:i/>
          </w:rPr>
          <w:t>18</w:t>
        </w:r>
      </w:hyperlink>
      <w:hyperlink r:id="rId101">
        <w:r>
          <w:t>(5), 483–495. https://doi.org/10.1111/ele.12428</w:t>
        </w:r>
      </w:hyperlink>
    </w:p>
    <w:p w14:paraId="173E6D7F"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02">
        <w:r>
          <w:t xml:space="preserve">Behringer, V., Stevens, J., Leendertz, F., Hohmann, G., &amp; Deschner, T. (2017). Validation of a method for the assessment of urinary neopterin levels to monitor health status in non-human-primate species. </w:t>
        </w:r>
      </w:hyperlink>
      <w:hyperlink r:id="rId103">
        <w:r>
          <w:rPr>
            <w:i/>
          </w:rPr>
          <w:t>Frontiers in Physiology</w:t>
        </w:r>
      </w:hyperlink>
      <w:hyperlink r:id="rId104">
        <w:r>
          <w:t xml:space="preserve">, </w:t>
        </w:r>
      </w:hyperlink>
      <w:hyperlink r:id="rId105">
        <w:r>
          <w:rPr>
            <w:i/>
          </w:rPr>
          <w:t>8</w:t>
        </w:r>
      </w:hyperlink>
      <w:hyperlink r:id="rId106">
        <w:r>
          <w:t>(51). https://doi.org/10.3389/fphys.2017.00051</w:t>
        </w:r>
      </w:hyperlink>
    </w:p>
    <w:p w14:paraId="50FB51F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07">
        <w:r>
          <w:t xml:space="preserve">Blanckenhorn, W. U. (2005). Behavioral Causes and Consequences of Sexual Size Dimorphism. </w:t>
        </w:r>
      </w:hyperlink>
      <w:hyperlink r:id="rId108">
        <w:r>
          <w:rPr>
            <w:i/>
          </w:rPr>
          <w:t>Ethology</w:t>
        </w:r>
      </w:hyperlink>
      <w:hyperlink r:id="rId109">
        <w:r>
          <w:t xml:space="preserve">, </w:t>
        </w:r>
      </w:hyperlink>
      <w:hyperlink r:id="rId110">
        <w:r>
          <w:rPr>
            <w:i/>
          </w:rPr>
          <w:t>111</w:t>
        </w:r>
      </w:hyperlink>
      <w:hyperlink r:id="rId111">
        <w:r>
          <w:t>(11), 977–1016. https://doi.org/10.1111/j.1439-0310.2005.01147.x</w:t>
        </w:r>
      </w:hyperlink>
    </w:p>
    <w:p w14:paraId="5485413C"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12">
        <w:r>
          <w:t xml:space="preserve">Bonneaud, C., Mazuc, J., Gonzalez, G., Haussy, C., Chastel, O., Faivre, B., &amp; Sorci, G. (2003). Assessing the Cost of Mounting an Immune Response. </w:t>
        </w:r>
      </w:hyperlink>
      <w:hyperlink r:id="rId113">
        <w:r>
          <w:rPr>
            <w:i/>
          </w:rPr>
          <w:t>The American Naturalist</w:t>
        </w:r>
      </w:hyperlink>
      <w:hyperlink r:id="rId114">
        <w:r>
          <w:t xml:space="preserve">, </w:t>
        </w:r>
      </w:hyperlink>
      <w:hyperlink r:id="rId115">
        <w:r>
          <w:rPr>
            <w:i/>
          </w:rPr>
          <w:t>161</w:t>
        </w:r>
      </w:hyperlink>
      <w:hyperlink r:id="rId116">
        <w:r>
          <w:t>(3), 367–379. https://doi.org/10.1086/346134</w:t>
        </w:r>
      </w:hyperlink>
    </w:p>
    <w:p w14:paraId="17246AF9"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17">
        <w:r>
          <w:t xml:space="preserve">Castaneda, C., Charnley, J. M., Evans, W. J., &amp; Crim, M. C. (1995). Elderly women accommodate to a low-protein diet with losses of body cell mass, muscle function, and immune response. </w:t>
        </w:r>
      </w:hyperlink>
      <w:hyperlink r:id="rId118">
        <w:r>
          <w:rPr>
            <w:i/>
          </w:rPr>
          <w:t>The American Journal of Clinical Nutrition</w:t>
        </w:r>
      </w:hyperlink>
      <w:hyperlink r:id="rId119">
        <w:r>
          <w:t xml:space="preserve">, </w:t>
        </w:r>
      </w:hyperlink>
      <w:hyperlink r:id="rId120">
        <w:r>
          <w:rPr>
            <w:i/>
          </w:rPr>
          <w:t>62</w:t>
        </w:r>
      </w:hyperlink>
      <w:hyperlink r:id="rId121">
        <w:r>
          <w:t>(1), 30–39. https://doi.org/10.1093/ajcn/62.1.30</w:t>
        </w:r>
      </w:hyperlink>
    </w:p>
    <w:p w14:paraId="6B289391"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22">
        <w:r>
          <w:t xml:space="preserve">Chandra, R. K. (1996). Nutrition, immunity and infection: From basic knowledge of dietary manipulation of immune responses to practical application of ameliorating suffering and improving survival. </w:t>
        </w:r>
      </w:hyperlink>
      <w:hyperlink r:id="rId123">
        <w:r>
          <w:rPr>
            <w:i/>
          </w:rPr>
          <w:t>Proceedings of the National Academy of Sciences</w:t>
        </w:r>
      </w:hyperlink>
      <w:hyperlink r:id="rId124">
        <w:r>
          <w:t xml:space="preserve">, </w:t>
        </w:r>
      </w:hyperlink>
      <w:hyperlink r:id="rId125">
        <w:r>
          <w:rPr>
            <w:i/>
          </w:rPr>
          <w:t>93</w:t>
        </w:r>
      </w:hyperlink>
      <w:hyperlink r:id="rId126">
        <w:r>
          <w:t>(25), 14304–</w:t>
        </w:r>
        <w:r>
          <w:lastRenderedPageBreak/>
          <w:t>14307. https://doi.org/10.1073/pnas.93.25.14304</w:t>
        </w:r>
      </w:hyperlink>
    </w:p>
    <w:p w14:paraId="0EB21BF6"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27">
        <w:r>
          <w:t xml:space="preserve">Cords, M. (2012). The 30-year blues: What we know and don’t know about life history, group size, and group fission of blue monkeys in the Kakamega Forest, Kenya. In P. Kappeler &amp; D. P. Watts (Eds.), </w:t>
        </w:r>
      </w:hyperlink>
      <w:hyperlink r:id="rId128">
        <w:r>
          <w:rPr>
            <w:i/>
          </w:rPr>
          <w:t>Long-term field studies of primates</w:t>
        </w:r>
      </w:hyperlink>
      <w:hyperlink r:id="rId129">
        <w:r>
          <w:t xml:space="preserve"> (pp. 289–312). Springer.</w:t>
        </w:r>
      </w:hyperlink>
    </w:p>
    <w:p w14:paraId="61E770A0"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30">
        <w:r>
          <w:t xml:space="preserve">Cords, M., &amp; Chowdhury, S. (2010). Life History of Cercopithecus mitis stuhlmanni in the Kakamega Forest, Kenya. </w:t>
        </w:r>
      </w:hyperlink>
      <w:hyperlink r:id="rId131">
        <w:r>
          <w:rPr>
            <w:i/>
          </w:rPr>
          <w:t>International Journal of Primatology</w:t>
        </w:r>
      </w:hyperlink>
      <w:hyperlink r:id="rId132">
        <w:r>
          <w:t xml:space="preserve">, </w:t>
        </w:r>
      </w:hyperlink>
      <w:hyperlink r:id="rId133">
        <w:r>
          <w:rPr>
            <w:i/>
          </w:rPr>
          <w:t>31</w:t>
        </w:r>
      </w:hyperlink>
      <w:hyperlink r:id="rId134">
        <w:r>
          <w:t>(3), 433–455. https://doi.org/10.1007/s10764-010-9405-7</w:t>
        </w:r>
      </w:hyperlink>
    </w:p>
    <w:p w14:paraId="06D8962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35">
        <w:r>
          <w:t xml:space="preserve">Dark, J., Zucker, I., &amp; Wade, G. N. (1983). Photoperiodic regulation of body mass, food intake, and reproduction in meadow voles. </w:t>
        </w:r>
      </w:hyperlink>
      <w:hyperlink r:id="rId136">
        <w:r>
          <w:rPr>
            <w:i/>
          </w:rPr>
          <w:t>American Journal of Physiology-Regulatory, Integrative and Comparative Physiology</w:t>
        </w:r>
      </w:hyperlink>
      <w:hyperlink r:id="rId137">
        <w:r>
          <w:t xml:space="preserve">, </w:t>
        </w:r>
      </w:hyperlink>
      <w:hyperlink r:id="rId138">
        <w:r>
          <w:rPr>
            <w:i/>
          </w:rPr>
          <w:t>245</w:t>
        </w:r>
      </w:hyperlink>
      <w:hyperlink r:id="rId139">
        <w:r>
          <w:t>(3), R334–R338. https://doi.org/10.1152/ajpregu.1983.245.3.R334</w:t>
        </w:r>
      </w:hyperlink>
    </w:p>
    <w:p w14:paraId="3E05ECFA"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40">
        <w:r>
          <w:t xml:space="preserve">Demas, G. E. (2004). The energetics of immunity: A neuroendocrine link between energy balance and immune function. </w:t>
        </w:r>
      </w:hyperlink>
      <w:hyperlink r:id="rId141">
        <w:r>
          <w:rPr>
            <w:i/>
          </w:rPr>
          <w:t>Hormones and Behavior</w:t>
        </w:r>
      </w:hyperlink>
      <w:hyperlink r:id="rId142">
        <w:r>
          <w:t xml:space="preserve">, </w:t>
        </w:r>
      </w:hyperlink>
      <w:hyperlink r:id="rId143">
        <w:r>
          <w:rPr>
            <w:i/>
          </w:rPr>
          <w:t>45</w:t>
        </w:r>
      </w:hyperlink>
      <w:hyperlink r:id="rId144">
        <w:r>
          <w:t>(3), 173–180. https://doi.org/10.1016/j.yhbeh.2003.11.002</w:t>
        </w:r>
      </w:hyperlink>
    </w:p>
    <w:p w14:paraId="0461083E"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45">
        <w:r>
          <w:t xml:space="preserve">Demas, G. E., Chefer, V., Talan, M. I., &amp; Nelson, R. J. (1997). Metabolic costs of mounting an antigen-stimulated  immune response in adult and aged C57BL/6J mice. </w:t>
        </w:r>
      </w:hyperlink>
      <w:hyperlink r:id="rId146">
        <w:r>
          <w:rPr>
            <w:i/>
          </w:rPr>
          <w:t>American Journal of Physiology-Regulatory, Integrative and Comparative Physiology</w:t>
        </w:r>
      </w:hyperlink>
      <w:hyperlink r:id="rId147">
        <w:r>
          <w:t xml:space="preserve">, </w:t>
        </w:r>
      </w:hyperlink>
      <w:hyperlink r:id="rId148">
        <w:r>
          <w:rPr>
            <w:i/>
          </w:rPr>
          <w:t>273</w:t>
        </w:r>
      </w:hyperlink>
      <w:hyperlink r:id="rId149">
        <w:r>
          <w:t>(5), R1631–R1637. https://doi.org/10.1152/ajpregu.1997.273.5.R1631</w:t>
        </w:r>
      </w:hyperlink>
    </w:p>
    <w:p w14:paraId="1985E8B3"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50">
        <w:r>
          <w:t xml:space="preserve">Deschner, T., Kratzsch, J., &amp; Hohmann, G. (2008). Urinary C-peptide as a method for monitoring body mass changes in captive bonobos (Pan paniscus). </w:t>
        </w:r>
      </w:hyperlink>
      <w:hyperlink r:id="rId151">
        <w:r>
          <w:rPr>
            <w:i/>
          </w:rPr>
          <w:t>Hormones and Behavior</w:t>
        </w:r>
      </w:hyperlink>
      <w:hyperlink r:id="rId152">
        <w:r>
          <w:t xml:space="preserve">, </w:t>
        </w:r>
      </w:hyperlink>
      <w:hyperlink r:id="rId153">
        <w:r>
          <w:rPr>
            <w:i/>
          </w:rPr>
          <w:t>54</w:t>
        </w:r>
      </w:hyperlink>
      <w:hyperlink r:id="rId154">
        <w:r>
          <w:t>(5), 620–626. https://doi.org/10.1016/j.yhbeh.2008.06.005</w:t>
        </w:r>
      </w:hyperlink>
    </w:p>
    <w:p w14:paraId="413CDB04"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55">
        <w:r>
          <w:t xml:space="preserve">Donabedian, R., &amp; Cords, M. (2021). Maternal rank acquisition in a primate with low aggression and coalition rates. </w:t>
        </w:r>
      </w:hyperlink>
      <w:hyperlink r:id="rId156">
        <w:r>
          <w:rPr>
            <w:i/>
          </w:rPr>
          <w:t>Behavioral Ecology and Sociobiology</w:t>
        </w:r>
      </w:hyperlink>
      <w:hyperlink r:id="rId157">
        <w:r>
          <w:t xml:space="preserve">, </w:t>
        </w:r>
      </w:hyperlink>
      <w:hyperlink r:id="rId158">
        <w:r>
          <w:rPr>
            <w:i/>
          </w:rPr>
          <w:t>75</w:t>
        </w:r>
      </w:hyperlink>
      <w:hyperlink r:id="rId159">
        <w:r>
          <w:t>(6), 90. https://doi.org/10.1007/s00265-021-03021-4</w:t>
        </w:r>
      </w:hyperlink>
    </w:p>
    <w:p w14:paraId="56AB06F0"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60">
        <w:r>
          <w:t xml:space="preserve">Ellison, P. T. (2017). Endocrinology, energetics, and human life history: A synthetic model. </w:t>
        </w:r>
      </w:hyperlink>
      <w:hyperlink r:id="rId161">
        <w:r>
          <w:rPr>
            <w:i/>
          </w:rPr>
          <w:t>Hormones and Behavior</w:t>
        </w:r>
      </w:hyperlink>
      <w:hyperlink r:id="rId162">
        <w:r>
          <w:t xml:space="preserve">, </w:t>
        </w:r>
      </w:hyperlink>
      <w:hyperlink r:id="rId163">
        <w:r>
          <w:rPr>
            <w:i/>
          </w:rPr>
          <w:t>91</w:t>
        </w:r>
      </w:hyperlink>
      <w:hyperlink r:id="rId164">
        <w:r>
          <w:t>, 97–106. https://doi.org/10.1016/j.yhbeh.2016.09.006</w:t>
        </w:r>
      </w:hyperlink>
    </w:p>
    <w:p w14:paraId="7A3600E6"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65">
        <w:r>
          <w:t xml:space="preserve">Emery Thompson, M. (2013). Comparative Reproductive Energetics of Human and Nonhuman Primates. </w:t>
        </w:r>
      </w:hyperlink>
      <w:hyperlink r:id="rId166">
        <w:r>
          <w:rPr>
            <w:i/>
          </w:rPr>
          <w:t>Annual Review of Anthropology</w:t>
        </w:r>
      </w:hyperlink>
      <w:hyperlink r:id="rId167">
        <w:r>
          <w:t xml:space="preserve">, </w:t>
        </w:r>
      </w:hyperlink>
      <w:hyperlink r:id="rId168">
        <w:r>
          <w:rPr>
            <w:i/>
          </w:rPr>
          <w:t>42</w:t>
        </w:r>
      </w:hyperlink>
      <w:hyperlink r:id="rId169">
        <w:r>
          <w:t>(1), 287–304. https://doi.org/10.1146/annurev-anthro-092412-155530</w:t>
        </w:r>
      </w:hyperlink>
    </w:p>
    <w:p w14:paraId="04CD5DFC"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70">
        <w:r>
          <w:t xml:space="preserve">Emery Thompson, M. (2016). C-peptide of insulin. In </w:t>
        </w:r>
      </w:hyperlink>
      <w:hyperlink r:id="rId171">
        <w:r>
          <w:rPr>
            <w:i/>
          </w:rPr>
          <w:t>The International Encyclopedia of Primatology</w:t>
        </w:r>
      </w:hyperlink>
      <w:hyperlink r:id="rId172">
        <w:r>
          <w:t>. John Wiley &amp; Sons, Inc.</w:t>
        </w:r>
      </w:hyperlink>
    </w:p>
    <w:p w14:paraId="559B4BB6"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73">
        <w:r>
          <w:t xml:space="preserve">Emery Thompson, M., &amp; Knott, C. D. (2008). Urinary C-peptide of insulin as a non-invasive marker of energy balance in wild orangutans. </w:t>
        </w:r>
      </w:hyperlink>
      <w:hyperlink r:id="rId174">
        <w:r>
          <w:rPr>
            <w:i/>
          </w:rPr>
          <w:t>Hormones and Behavior</w:t>
        </w:r>
      </w:hyperlink>
      <w:hyperlink r:id="rId175">
        <w:r>
          <w:t xml:space="preserve">, </w:t>
        </w:r>
      </w:hyperlink>
      <w:hyperlink r:id="rId176">
        <w:r>
          <w:rPr>
            <w:i/>
          </w:rPr>
          <w:t>53</w:t>
        </w:r>
      </w:hyperlink>
      <w:hyperlink r:id="rId177">
        <w:r>
          <w:t>(4), 526–535. https://doi.org/10.1016/j.yhbeh.2007.12.005</w:t>
        </w:r>
      </w:hyperlink>
    </w:p>
    <w:p w14:paraId="41B463A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78">
        <w:r>
          <w:t xml:space="preserve">Emery Thompson, M., Muller, M. N., &amp; Wrangham, R. W. (2012). Technical note: Variation in muscle mass in wild chimpanzees: Application of a modified urinary creatinine method. </w:t>
        </w:r>
      </w:hyperlink>
      <w:hyperlink r:id="rId179">
        <w:r>
          <w:rPr>
            <w:i/>
          </w:rPr>
          <w:t>American Journal of Physical Anthropology</w:t>
        </w:r>
      </w:hyperlink>
      <w:hyperlink r:id="rId180">
        <w:r>
          <w:t xml:space="preserve">, </w:t>
        </w:r>
      </w:hyperlink>
      <w:hyperlink r:id="rId181">
        <w:r>
          <w:rPr>
            <w:i/>
          </w:rPr>
          <w:t>149</w:t>
        </w:r>
      </w:hyperlink>
      <w:hyperlink r:id="rId182">
        <w:r>
          <w:t>(4), 622–627. https://doi.org/10.1002/ajpa.22157</w:t>
        </w:r>
      </w:hyperlink>
    </w:p>
    <w:p w14:paraId="4060C687"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83">
        <w:r>
          <w:t xml:space="preserve">Emery Thompson, M., Muller, M. N., Wrangham, R. W., Lwanga, J. S., &amp; Potts, K. B. (2009). Urinary C-peptide tracks seasonal and individual variation in energy balance in wild chimpanzees. </w:t>
        </w:r>
      </w:hyperlink>
      <w:hyperlink r:id="rId184">
        <w:r>
          <w:rPr>
            <w:i/>
          </w:rPr>
          <w:t>Hormones and Behavior</w:t>
        </w:r>
      </w:hyperlink>
      <w:hyperlink r:id="rId185">
        <w:r>
          <w:t xml:space="preserve">, </w:t>
        </w:r>
      </w:hyperlink>
      <w:hyperlink r:id="rId186">
        <w:r>
          <w:rPr>
            <w:i/>
          </w:rPr>
          <w:t>55</w:t>
        </w:r>
      </w:hyperlink>
      <w:hyperlink r:id="rId187">
        <w:r>
          <w:t>(2), 299–305. http://dx.doi.org/10.1016/j.yhbeh.2008.11.005</w:t>
        </w:r>
      </w:hyperlink>
    </w:p>
    <w:p w14:paraId="5BAD0B59" w14:textId="6BA0FDFE"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88">
        <w:r>
          <w:t xml:space="preserve">Girard-Buttoz, C., Higham, J. P., Heistermann, M., Wedegärtner, S., Maestripieri, D., &amp; Engelhardt, A. (2011). Urinary </w:t>
        </w:r>
        <w:r w:rsidR="002C1B12">
          <w:t>C-peptide</w:t>
        </w:r>
        <w:r>
          <w:t xml:space="preserve"> measurement as a marker of nutritional status in macaques. </w:t>
        </w:r>
      </w:hyperlink>
      <w:hyperlink r:id="rId189">
        <w:r>
          <w:rPr>
            <w:i/>
          </w:rPr>
          <w:t>PLOS ONE</w:t>
        </w:r>
      </w:hyperlink>
      <w:hyperlink r:id="rId190">
        <w:r>
          <w:t xml:space="preserve">, </w:t>
        </w:r>
      </w:hyperlink>
      <w:hyperlink r:id="rId191">
        <w:r>
          <w:rPr>
            <w:i/>
          </w:rPr>
          <w:t>6</w:t>
        </w:r>
      </w:hyperlink>
      <w:hyperlink r:id="rId192">
        <w:r>
          <w:t>(3), e18042. https://doi.org/10.1371/journal.pone.0018042</w:t>
        </w:r>
      </w:hyperlink>
    </w:p>
    <w:p w14:paraId="18993B2A"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93">
        <w:r>
          <w:t xml:space="preserve">Grueter, C. C., Deschner, T., Behringer, V., Fawcett, K., &amp; Robbins, M. M. (2014). Socioecological correlates of energy balance using urinary C-peptide measurements in wild female mountain gorillas. </w:t>
        </w:r>
      </w:hyperlink>
      <w:hyperlink r:id="rId194">
        <w:r>
          <w:rPr>
            <w:i/>
          </w:rPr>
          <w:t>Physiology &amp; Behavior</w:t>
        </w:r>
      </w:hyperlink>
      <w:hyperlink r:id="rId195">
        <w:r>
          <w:t xml:space="preserve">, </w:t>
        </w:r>
      </w:hyperlink>
      <w:hyperlink r:id="rId196">
        <w:r>
          <w:rPr>
            <w:i/>
          </w:rPr>
          <w:t>127</w:t>
        </w:r>
      </w:hyperlink>
      <w:hyperlink r:id="rId197">
        <w:r>
          <w:t>, 13–19. http://dx.doi.org/10.1016/j.physbeh.2014.01.009</w:t>
        </w:r>
      </w:hyperlink>
    </w:p>
    <w:p w14:paraId="497F67F7"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198">
        <w:r>
          <w:t xml:space="preserve">Hector, K. L., &amp; Nakagawa, S. (2012). Quantitative analysis of compensatory and catch-up growth in diverse taxa. </w:t>
        </w:r>
      </w:hyperlink>
      <w:hyperlink r:id="rId199">
        <w:r>
          <w:rPr>
            <w:i/>
          </w:rPr>
          <w:t>Journal of Animal Ecology</w:t>
        </w:r>
      </w:hyperlink>
      <w:hyperlink r:id="rId200">
        <w:r>
          <w:t xml:space="preserve">, </w:t>
        </w:r>
      </w:hyperlink>
      <w:hyperlink r:id="rId201">
        <w:r>
          <w:rPr>
            <w:i/>
          </w:rPr>
          <w:t>81</w:t>
        </w:r>
      </w:hyperlink>
      <w:hyperlink r:id="rId202">
        <w:r>
          <w:t>(3), 583–593. https://doi.org/10.1111/j.1365-2656.2011.01942.x</w:t>
        </w:r>
      </w:hyperlink>
    </w:p>
    <w:p w14:paraId="37C440E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03">
        <w:r>
          <w:t xml:space="preserve">Heistermann, M., &amp; Higham, J. P. (2015). Urinary neopterin, a non-invasive marker of mammalian cellular actiation, is highly stable under field conditions. </w:t>
        </w:r>
      </w:hyperlink>
      <w:hyperlink r:id="rId204">
        <w:r>
          <w:rPr>
            <w:i/>
          </w:rPr>
          <w:t>Scientific Reports</w:t>
        </w:r>
      </w:hyperlink>
      <w:hyperlink r:id="rId205">
        <w:r>
          <w:t>. https://doi.org/10.1038/srep16308</w:t>
        </w:r>
      </w:hyperlink>
    </w:p>
    <w:p w14:paraId="7EFBA7E6" w14:textId="2FDF9335"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06">
        <w:r>
          <w:t xml:space="preserve">Higham, J. P., Girard-Buttoz, C., Engelhardt, A., &amp; Heistermann, M. (2011). Urinary </w:t>
        </w:r>
        <w:r w:rsidR="002C1B12">
          <w:t>C-peptide</w:t>
        </w:r>
        <w:r>
          <w:t xml:space="preserve"> of insulin as a non-invasive marker of nutritional status: Some practicalities. </w:t>
        </w:r>
      </w:hyperlink>
      <w:hyperlink r:id="rId207">
        <w:r>
          <w:rPr>
            <w:i/>
          </w:rPr>
          <w:t>PLOS ONE</w:t>
        </w:r>
      </w:hyperlink>
      <w:hyperlink r:id="rId208">
        <w:r>
          <w:t xml:space="preserve">, </w:t>
        </w:r>
      </w:hyperlink>
      <w:hyperlink r:id="rId209">
        <w:r>
          <w:rPr>
            <w:i/>
          </w:rPr>
          <w:t>6</w:t>
        </w:r>
      </w:hyperlink>
      <w:hyperlink r:id="rId210">
        <w:r>
          <w:t>(7), e22398. https://doi.org/10.1371/journal.pone.0022398</w:t>
        </w:r>
      </w:hyperlink>
    </w:p>
    <w:p w14:paraId="176520A9"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11">
        <w:r>
          <w:t xml:space="preserve">Higham, J. P., Kraus, C., Stahl-Hennig, C., Engelhardt, A., Fuchs, D., &amp; Heistermann, M. (2015). Evaluating noninvasive markers of nonhuman primate immune activation and inflammation. </w:t>
        </w:r>
      </w:hyperlink>
      <w:hyperlink r:id="rId212">
        <w:r>
          <w:rPr>
            <w:i/>
          </w:rPr>
          <w:t>American Journal of Physical Anthropology</w:t>
        </w:r>
      </w:hyperlink>
      <w:hyperlink r:id="rId213">
        <w:r>
          <w:t xml:space="preserve">, </w:t>
        </w:r>
      </w:hyperlink>
      <w:hyperlink r:id="rId214">
        <w:r>
          <w:rPr>
            <w:i/>
          </w:rPr>
          <w:t>158</w:t>
        </w:r>
      </w:hyperlink>
      <w:hyperlink r:id="rId215">
        <w:r>
          <w:t>(4), 673–684. https://doi.org/10.1002/ajpa.22821</w:t>
        </w:r>
      </w:hyperlink>
    </w:p>
    <w:p w14:paraId="1DA2C1D9"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16">
        <w:r>
          <w:t xml:space="preserve">Jolly, C. A. (2004). Dietary Restriction and Immune Function. </w:t>
        </w:r>
      </w:hyperlink>
      <w:hyperlink r:id="rId217">
        <w:r>
          <w:rPr>
            <w:i/>
          </w:rPr>
          <w:t>The Journal of Nutrition</w:t>
        </w:r>
      </w:hyperlink>
      <w:hyperlink r:id="rId218">
        <w:r>
          <w:t xml:space="preserve">, </w:t>
        </w:r>
      </w:hyperlink>
      <w:hyperlink r:id="rId219">
        <w:r>
          <w:rPr>
            <w:i/>
          </w:rPr>
          <w:t>134</w:t>
        </w:r>
      </w:hyperlink>
      <w:hyperlink r:id="rId220">
        <w:r>
          <w:t>(8), 1853–1856. https://doi.org/10.1093/jn/134.8.1853</w:t>
        </w:r>
      </w:hyperlink>
    </w:p>
    <w:p w14:paraId="07F35C21"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21">
        <w:r>
          <w:t xml:space="preserve">Klass, K., &amp; Cords, M. (2015). Agonism and dominance in female blue monkeys. </w:t>
        </w:r>
      </w:hyperlink>
      <w:hyperlink r:id="rId222">
        <w:r>
          <w:rPr>
            <w:i/>
          </w:rPr>
          <w:t>American Journal of Primatology</w:t>
        </w:r>
      </w:hyperlink>
      <w:hyperlink r:id="rId223">
        <w:r>
          <w:t xml:space="preserve">, </w:t>
        </w:r>
      </w:hyperlink>
      <w:hyperlink r:id="rId224">
        <w:r>
          <w:rPr>
            <w:i/>
          </w:rPr>
          <w:t>77</w:t>
        </w:r>
      </w:hyperlink>
      <w:hyperlink r:id="rId225">
        <w:r>
          <w:t>(12), 1299–1315. https://doi.org/10.1002/ajp.22481</w:t>
        </w:r>
      </w:hyperlink>
    </w:p>
    <w:p w14:paraId="1E221D9B"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26">
        <w:r>
          <w:t xml:space="preserve">Lin, W. C., Liu, C., Kosillo, P., Tai, L.-H., Galarce, E., Bateup, H., Lammel, S., &amp; Wilbrecht, L. (2022). Transient food insecurity during the juvenile-adolescent period affects adult weight, cognitive flexibility, and dopamine neurobiology. </w:t>
        </w:r>
      </w:hyperlink>
      <w:hyperlink r:id="rId227">
        <w:r>
          <w:rPr>
            <w:i/>
          </w:rPr>
          <w:t>Current Biology : CB</w:t>
        </w:r>
      </w:hyperlink>
      <w:hyperlink r:id="rId228">
        <w:r>
          <w:t xml:space="preserve">, </w:t>
        </w:r>
      </w:hyperlink>
      <w:hyperlink r:id="rId229">
        <w:r>
          <w:rPr>
            <w:i/>
          </w:rPr>
          <w:t>32</w:t>
        </w:r>
      </w:hyperlink>
      <w:hyperlink r:id="rId230">
        <w:r>
          <w:t>(17), 3690-3703.e5. https://doi.org/10.1016/j.cub.2022.06.089</w:t>
        </w:r>
      </w:hyperlink>
    </w:p>
    <w:p w14:paraId="1DD67EF4"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31">
        <w:r>
          <w:t xml:space="preserve">Long, K. Z., &amp; Nanthakumar, N. (2004). Energetic and nutritional regulation of the adaptive immune response and trade-offs in ecological immunology. </w:t>
        </w:r>
      </w:hyperlink>
      <w:hyperlink r:id="rId232">
        <w:r>
          <w:rPr>
            <w:i/>
          </w:rPr>
          <w:t>American Journal of Human Biology</w:t>
        </w:r>
      </w:hyperlink>
      <w:hyperlink r:id="rId233">
        <w:r>
          <w:t xml:space="preserve">, </w:t>
        </w:r>
      </w:hyperlink>
      <w:hyperlink r:id="rId234">
        <w:r>
          <w:rPr>
            <w:i/>
          </w:rPr>
          <w:t>16</w:t>
        </w:r>
      </w:hyperlink>
      <w:hyperlink r:id="rId235">
        <w:r>
          <w:t>(5), 499–507. https://doi.org/10.1002/ajhb.20064</w:t>
        </w:r>
      </w:hyperlink>
    </w:p>
    <w:p w14:paraId="48D12098"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36">
        <w:r>
          <w:t xml:space="preserve">Lord, G. M., Matarese, G., Howard, J. K., Baker, R. J., Bloom, S. R., &amp; Lechler, R. I. (1998). Leptin modulates the T-cell immune response and reverses starvation-induced immunosuppression. </w:t>
        </w:r>
      </w:hyperlink>
      <w:hyperlink r:id="rId237">
        <w:r>
          <w:rPr>
            <w:i/>
          </w:rPr>
          <w:t>Nature</w:t>
        </w:r>
      </w:hyperlink>
      <w:hyperlink r:id="rId238">
        <w:r>
          <w:t xml:space="preserve">, </w:t>
        </w:r>
      </w:hyperlink>
      <w:hyperlink r:id="rId239">
        <w:r>
          <w:rPr>
            <w:i/>
          </w:rPr>
          <w:t>394</w:t>
        </w:r>
      </w:hyperlink>
      <w:hyperlink r:id="rId240">
        <w:r>
          <w:t>(6696), Article 6696. https://doi.org/10.1038/29795</w:t>
        </w:r>
      </w:hyperlink>
    </w:p>
    <w:p w14:paraId="19DC4BC6"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41">
        <w:r>
          <w:t xml:space="preserve">Lysle, D. T., Cunnick, J. E., Wu, R., Caggiula, A. R., Wood, P. G., &amp; Rabin, B. S. (1988). 2-Deoxy-d-glucose modulation of T-lymphocyte reactivity: Differential effects on lymphoid </w:t>
        </w:r>
        <w:r>
          <w:lastRenderedPageBreak/>
          <w:t xml:space="preserve">compartments. </w:t>
        </w:r>
      </w:hyperlink>
      <w:hyperlink r:id="rId242">
        <w:r>
          <w:rPr>
            <w:i/>
          </w:rPr>
          <w:t>Brain, Behavior, and Immunity</w:t>
        </w:r>
      </w:hyperlink>
      <w:hyperlink r:id="rId243">
        <w:r>
          <w:t xml:space="preserve">, </w:t>
        </w:r>
      </w:hyperlink>
      <w:hyperlink r:id="rId244">
        <w:r>
          <w:rPr>
            <w:i/>
          </w:rPr>
          <w:t>2</w:t>
        </w:r>
      </w:hyperlink>
      <w:hyperlink r:id="rId245">
        <w:r>
          <w:t>(3), 212–221. https://doi.org/10.1016/0889-1591(88)90023-2</w:t>
        </w:r>
      </w:hyperlink>
    </w:p>
    <w:p w14:paraId="3353BBA1"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46">
        <w:r>
          <w:t xml:space="preserve">Martin, L. B., Scheuerlein, A., &amp; Wikelski, M. (2003). Immune activity elevates energy expenditure of house sparrows: A link between direct and indirect costs? </w:t>
        </w:r>
      </w:hyperlink>
      <w:hyperlink r:id="rId247">
        <w:r>
          <w:rPr>
            <w:i/>
          </w:rPr>
          <w:t>Proceedings of the Royal Society of London. Series B: Biological Sciences</w:t>
        </w:r>
      </w:hyperlink>
      <w:hyperlink r:id="rId248">
        <w:r>
          <w:t xml:space="preserve">, </w:t>
        </w:r>
      </w:hyperlink>
      <w:hyperlink r:id="rId249">
        <w:r>
          <w:rPr>
            <w:i/>
          </w:rPr>
          <w:t>270</w:t>
        </w:r>
      </w:hyperlink>
      <w:hyperlink r:id="rId250">
        <w:r>
          <w:t>(1511), 153–158. https://doi.org/10.1098/rspb.2002.2185</w:t>
        </w:r>
      </w:hyperlink>
    </w:p>
    <w:p w14:paraId="2E51DB04"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51">
        <w:r>
          <w:t xml:space="preserve">McDade, T. W. (2003). Life history theory and the immune system: Steps toward a human ecological immunology. </w:t>
        </w:r>
      </w:hyperlink>
      <w:hyperlink r:id="rId252">
        <w:r>
          <w:rPr>
            <w:i/>
          </w:rPr>
          <w:t>American Journal of Physical Anthropology</w:t>
        </w:r>
      </w:hyperlink>
      <w:hyperlink r:id="rId253">
        <w:r>
          <w:t xml:space="preserve">, </w:t>
        </w:r>
      </w:hyperlink>
      <w:hyperlink r:id="rId254">
        <w:r>
          <w:rPr>
            <w:i/>
          </w:rPr>
          <w:t>122</w:t>
        </w:r>
      </w:hyperlink>
      <w:hyperlink r:id="rId255">
        <w:r>
          <w:t>(S37), 100–125. https://doi.org/10.1002/ajpa.10398</w:t>
        </w:r>
      </w:hyperlink>
    </w:p>
    <w:p w14:paraId="154C05E4"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56">
        <w:r>
          <w:t xml:space="preserve">Meydani, S. N., Das, S. K., Pieper, C. F., Lewis, M. R., Klein, S., Dixit, V. D., Gupta, A. K., Villareal, D. T., Bhapkar, M., Huang, M., Fuss, P. J., Roberts, S. B., Holloszy, J. O., &amp; Fontana, L. (2016). Long-term moderate calorie restriction inhibits inflammation without impairing cell-mediated immunity: A randomized controlled trial in non-obese humans. </w:t>
        </w:r>
      </w:hyperlink>
      <w:hyperlink r:id="rId257">
        <w:r>
          <w:rPr>
            <w:i/>
          </w:rPr>
          <w:t>Aging (Albany NY)</w:t>
        </w:r>
      </w:hyperlink>
      <w:hyperlink r:id="rId258">
        <w:r>
          <w:t xml:space="preserve">, </w:t>
        </w:r>
      </w:hyperlink>
      <w:hyperlink r:id="rId259">
        <w:r>
          <w:rPr>
            <w:i/>
          </w:rPr>
          <w:t>8</w:t>
        </w:r>
      </w:hyperlink>
      <w:hyperlink r:id="rId260">
        <w:r>
          <w:t>(7), 1416–1426. https://doi.org/10.18632/aging.100994</w:t>
        </w:r>
      </w:hyperlink>
    </w:p>
    <w:p w14:paraId="208AC2B6"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61">
        <w:r>
          <w:t xml:space="preserve">Miller, E. S., Klinger, J. C., Akin, C., Anne Koebel, D., &amp; Sonnenfeld, G. (1994). Inhibition of murine splenic T lymphocyte proliferation by 2-deoxy-D-glucose-induced metabolic stress. </w:t>
        </w:r>
      </w:hyperlink>
      <w:hyperlink r:id="rId262">
        <w:r>
          <w:rPr>
            <w:i/>
          </w:rPr>
          <w:t>Journal of Neuroimmunology</w:t>
        </w:r>
      </w:hyperlink>
      <w:hyperlink r:id="rId263">
        <w:r>
          <w:t xml:space="preserve">, </w:t>
        </w:r>
      </w:hyperlink>
      <w:hyperlink r:id="rId264">
        <w:r>
          <w:rPr>
            <w:i/>
          </w:rPr>
          <w:t>52</w:t>
        </w:r>
      </w:hyperlink>
      <w:hyperlink r:id="rId265">
        <w:r>
          <w:t>(2), 165–173. https://doi.org/10.1016/0165-5728(94)90110-4</w:t>
        </w:r>
      </w:hyperlink>
    </w:p>
    <w:p w14:paraId="065C9384"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66">
        <w:r>
          <w:t xml:space="preserve">Miller, R. C., Brindle, E., Holman, D. J., Shofer, J., Klein, N. A., Soules, M. R., &amp; O’Connor, K. A. (2004). Comparison of specific gravity and creatinine for normalizing urinary reproductive hormone concentrations. </w:t>
        </w:r>
      </w:hyperlink>
      <w:hyperlink r:id="rId267">
        <w:r>
          <w:rPr>
            <w:i/>
          </w:rPr>
          <w:t>Clinical Chemistry</w:t>
        </w:r>
      </w:hyperlink>
      <w:hyperlink r:id="rId268">
        <w:r>
          <w:t xml:space="preserve">, </w:t>
        </w:r>
      </w:hyperlink>
      <w:hyperlink r:id="rId269">
        <w:r>
          <w:rPr>
            <w:i/>
          </w:rPr>
          <w:t>50</w:t>
        </w:r>
      </w:hyperlink>
      <w:hyperlink r:id="rId270">
        <w:r>
          <w:t>(5), 924.</w:t>
        </w:r>
      </w:hyperlink>
    </w:p>
    <w:p w14:paraId="2893E8C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71">
        <w:r>
          <w:t xml:space="preserve">Min, K. W., Jang, T., &amp; Lee, K. P. (2021). Thermal and nutritional environments during development exert different effects on adult reproductive success in Drosophila melanogaster. </w:t>
        </w:r>
      </w:hyperlink>
      <w:hyperlink r:id="rId272">
        <w:r>
          <w:rPr>
            <w:i/>
          </w:rPr>
          <w:t>Ecology and Evolution</w:t>
        </w:r>
      </w:hyperlink>
      <w:hyperlink r:id="rId273">
        <w:r>
          <w:t xml:space="preserve">, </w:t>
        </w:r>
      </w:hyperlink>
      <w:hyperlink r:id="rId274">
        <w:r>
          <w:rPr>
            <w:i/>
          </w:rPr>
          <w:t>11</w:t>
        </w:r>
      </w:hyperlink>
      <w:hyperlink r:id="rId275">
        <w:r>
          <w:t>(1), 443–457. https://doi.org/10.1002/ece3.7064</w:t>
        </w:r>
      </w:hyperlink>
    </w:p>
    <w:p w14:paraId="4D56BCA4"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76">
        <w:r>
          <w:t xml:space="preserve">Murr, C., Widner, B., &amp; Fuchs, B. W. and D. (2002). Neopterin as a Marker for Immune System </w:t>
        </w:r>
        <w:r>
          <w:lastRenderedPageBreak/>
          <w:t xml:space="preserve">Activation. </w:t>
        </w:r>
      </w:hyperlink>
      <w:hyperlink r:id="rId277">
        <w:r>
          <w:rPr>
            <w:i/>
          </w:rPr>
          <w:t>Current Drug Metabolism</w:t>
        </w:r>
      </w:hyperlink>
      <w:hyperlink r:id="rId278">
        <w:r>
          <w:t xml:space="preserve">, </w:t>
        </w:r>
      </w:hyperlink>
      <w:hyperlink r:id="rId279">
        <w:r>
          <w:rPr>
            <w:i/>
          </w:rPr>
          <w:t>3</w:t>
        </w:r>
      </w:hyperlink>
      <w:hyperlink r:id="rId280">
        <w:r>
          <w:t>(2), 175–187. https://doi.org/10.2174/1389200024605082</w:t>
        </w:r>
      </w:hyperlink>
    </w:p>
    <w:p w14:paraId="138FB3F3"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81">
        <w:r>
          <w:t xml:space="preserve">Nelson, R. J., Asfaw, B., DeVries, A. C., &amp; Demas, G. E. (1996). Reproductive response to photoperiod affects corticosterone and immunoglobulin G concentrations in prairie voles (Microtus ochrogaster). </w:t>
        </w:r>
      </w:hyperlink>
      <w:hyperlink r:id="rId282">
        <w:r>
          <w:rPr>
            <w:i/>
          </w:rPr>
          <w:t>Canadian Journal of Zoology</w:t>
        </w:r>
      </w:hyperlink>
      <w:hyperlink r:id="rId283">
        <w:r>
          <w:t xml:space="preserve">, </w:t>
        </w:r>
      </w:hyperlink>
      <w:hyperlink r:id="rId284">
        <w:r>
          <w:rPr>
            <w:i/>
          </w:rPr>
          <w:t>74</w:t>
        </w:r>
      </w:hyperlink>
      <w:hyperlink r:id="rId285">
        <w:r>
          <w:t>(3), 576–581. https://doi.org/10.1139/z96-064</w:t>
        </w:r>
      </w:hyperlink>
    </w:p>
    <w:p w14:paraId="0AF738F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86">
        <w:r>
          <w:t xml:space="preserve">Nelson, R. J., Demas, G. E., Klein, S. L., &amp; Kriegsfeld, L. J. (2002). </w:t>
        </w:r>
      </w:hyperlink>
      <w:hyperlink r:id="rId287">
        <w:r>
          <w:rPr>
            <w:i/>
          </w:rPr>
          <w:t>Seasonal Patterns of Stress, Immune Function, and Disease</w:t>
        </w:r>
      </w:hyperlink>
      <w:hyperlink r:id="rId288">
        <w:r>
          <w:t>. Cambridge University Press.</w:t>
        </w:r>
      </w:hyperlink>
    </w:p>
    <w:p w14:paraId="4951EEDE"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89">
        <w:r>
          <w:t xml:space="preserve">Nunn, C. L., Jordán, F., McCabe, C. M., Verdolin, J. L., &amp; Fewell, J. H. (2015). Infectious disease and group size: More than just a numbers game. </w:t>
        </w:r>
      </w:hyperlink>
      <w:hyperlink r:id="rId290">
        <w:r>
          <w:rPr>
            <w:i/>
          </w:rPr>
          <w:t>Philosophical Transactions of the Royal Society B: Biological Sciences</w:t>
        </w:r>
      </w:hyperlink>
      <w:hyperlink r:id="rId291">
        <w:r>
          <w:t xml:space="preserve">, </w:t>
        </w:r>
      </w:hyperlink>
      <w:hyperlink r:id="rId292">
        <w:r>
          <w:rPr>
            <w:i/>
          </w:rPr>
          <w:t>370</w:t>
        </w:r>
      </w:hyperlink>
      <w:hyperlink r:id="rId293">
        <w:r>
          <w:t>(1669), 20140111. https://doi.org/10.1098/rstb.2014.0111</w:t>
        </w:r>
      </w:hyperlink>
    </w:p>
    <w:p w14:paraId="674593E3"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94">
        <w:r>
          <w:t xml:space="preserve">Nunn, C. L., Lindenfors, P., Pursall, E. R., &amp; Rolff, J. (2009). On sexual dimorphism in immune function. </w:t>
        </w:r>
      </w:hyperlink>
      <w:hyperlink r:id="rId295">
        <w:r>
          <w:rPr>
            <w:i/>
          </w:rPr>
          <w:t>Philosophical Transactions of the Royal Society B: Biological Sciences</w:t>
        </w:r>
      </w:hyperlink>
      <w:hyperlink r:id="rId296">
        <w:r>
          <w:t xml:space="preserve">, </w:t>
        </w:r>
      </w:hyperlink>
      <w:hyperlink r:id="rId297">
        <w:r>
          <w:rPr>
            <w:i/>
          </w:rPr>
          <w:t>364</w:t>
        </w:r>
      </w:hyperlink>
      <w:hyperlink r:id="rId298">
        <w:r>
          <w:t>(1513), 61–69. https://doi.org/10.1098/rstb.2008.0148</w:t>
        </w:r>
      </w:hyperlink>
    </w:p>
    <w:p w14:paraId="7347521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299">
        <w:r>
          <w:t xml:space="preserve">O’Connell, C. A., DiGiorgio, A. L., Ugarte, A. D., Brittain, R. S. A., Naumenko, D. J., Utami Atmoko, S. S., &amp; Vogel, E. R. (2021). Wild Bornean orangutans experience muscle catabolism during episodes of fruit scarcity. </w:t>
        </w:r>
      </w:hyperlink>
      <w:hyperlink r:id="rId300">
        <w:r>
          <w:rPr>
            <w:i/>
          </w:rPr>
          <w:t>Scientific Reports</w:t>
        </w:r>
      </w:hyperlink>
      <w:hyperlink r:id="rId301">
        <w:r>
          <w:t xml:space="preserve">, </w:t>
        </w:r>
      </w:hyperlink>
      <w:hyperlink r:id="rId302">
        <w:r>
          <w:rPr>
            <w:i/>
          </w:rPr>
          <w:t>11</w:t>
        </w:r>
      </w:hyperlink>
      <w:hyperlink r:id="rId303">
        <w:r>
          <w:t>(1), Article 1. https://doi.org/10.1038/s41598-021-89186-4</w:t>
        </w:r>
      </w:hyperlink>
    </w:p>
    <w:p w14:paraId="12261CE5"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04">
        <w:r>
          <w:t xml:space="preserve">Page, A. E., Chaudhary, N., Viguier, S., Dyble, M., Thompson, J., Smith, D., Salali, G. D., Mace, R., &amp; Migliano, A. B. (2017). Hunter-Gatherer Social Networks and Reproductive Success. </w:t>
        </w:r>
      </w:hyperlink>
      <w:hyperlink r:id="rId305">
        <w:r>
          <w:rPr>
            <w:i/>
          </w:rPr>
          <w:t>Scientific Reports</w:t>
        </w:r>
      </w:hyperlink>
      <w:hyperlink r:id="rId306">
        <w:r>
          <w:t xml:space="preserve">, </w:t>
        </w:r>
      </w:hyperlink>
      <w:hyperlink r:id="rId307">
        <w:r>
          <w:rPr>
            <w:i/>
          </w:rPr>
          <w:t>7</w:t>
        </w:r>
      </w:hyperlink>
      <w:hyperlink r:id="rId308">
        <w:r>
          <w:t>(1), Article 1. https://doi.org/10.1038/s41598-017-01310-5</w:t>
        </w:r>
      </w:hyperlink>
    </w:p>
    <w:p w14:paraId="5B2F487E"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09">
        <w:r>
          <w:t xml:space="preserve">Pagel, M. D., &amp; Harvey, P. H. (2003). Evolution of the juvenile period in primates. In M. A. Pereira &amp; L. A. Fairbanks (Eds.), </w:t>
        </w:r>
      </w:hyperlink>
      <w:hyperlink r:id="rId310">
        <w:r>
          <w:rPr>
            <w:i/>
          </w:rPr>
          <w:t>Juvenile Primates</w:t>
        </w:r>
      </w:hyperlink>
      <w:hyperlink r:id="rId311">
        <w:r>
          <w:t xml:space="preserve"> (pp. 28–37). Oxford University Press.</w:t>
        </w:r>
      </w:hyperlink>
    </w:p>
    <w:p w14:paraId="3FFCF8AB"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12">
        <w:r>
          <w:t xml:space="preserve">Pereira, M. A., &amp; Fairbanks, L. A. (2003). What are juvenile primates all about? In M. A. Pereira </w:t>
        </w:r>
        <w:r>
          <w:lastRenderedPageBreak/>
          <w:t xml:space="preserve">&amp; L. A. Fairbanks (Eds.), </w:t>
        </w:r>
      </w:hyperlink>
      <w:hyperlink r:id="rId313">
        <w:r>
          <w:rPr>
            <w:i/>
          </w:rPr>
          <w:t>Juvenile Primates: Life history, development, and behavior</w:t>
        </w:r>
      </w:hyperlink>
      <w:hyperlink r:id="rId314">
        <w:r>
          <w:t xml:space="preserve"> (pp. 3–16). Oxford University Press.</w:t>
        </w:r>
      </w:hyperlink>
    </w:p>
    <w:p w14:paraId="66DC8B5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15">
        <w:r>
          <w:t xml:space="preserve">Pond, C. M. (1996). Interactions between adipose tissue and the immune system. </w:t>
        </w:r>
      </w:hyperlink>
      <w:hyperlink r:id="rId316">
        <w:r>
          <w:rPr>
            <w:i/>
          </w:rPr>
          <w:t>Proceedings of the Nutrition Society</w:t>
        </w:r>
      </w:hyperlink>
      <w:hyperlink r:id="rId317">
        <w:r>
          <w:t xml:space="preserve">, </w:t>
        </w:r>
      </w:hyperlink>
      <w:hyperlink r:id="rId318">
        <w:r>
          <w:rPr>
            <w:i/>
          </w:rPr>
          <w:t>55</w:t>
        </w:r>
      </w:hyperlink>
      <w:hyperlink r:id="rId319">
        <w:r>
          <w:t>(1B), 111–126. https://doi.org/10.1079/PNS19960014</w:t>
        </w:r>
      </w:hyperlink>
    </w:p>
    <w:p w14:paraId="35DB676C"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20">
        <w:r>
          <w:t xml:space="preserve">Prendergast, A. J., &amp; Humphrey, J. H. (2014). The stunting syndrome in developing countries. </w:t>
        </w:r>
      </w:hyperlink>
      <w:hyperlink r:id="rId321">
        <w:r>
          <w:rPr>
            <w:i/>
          </w:rPr>
          <w:t>Paediatrics and International Child Health</w:t>
        </w:r>
      </w:hyperlink>
      <w:hyperlink r:id="rId322">
        <w:r>
          <w:t xml:space="preserve">, </w:t>
        </w:r>
      </w:hyperlink>
      <w:hyperlink r:id="rId323">
        <w:r>
          <w:rPr>
            <w:i/>
          </w:rPr>
          <w:t>34</w:t>
        </w:r>
      </w:hyperlink>
      <w:hyperlink r:id="rId324">
        <w:r>
          <w:t>(4), 250–265. https://doi.org/10.1179/2046905514Y.0000000158</w:t>
        </w:r>
      </w:hyperlink>
    </w:p>
    <w:p w14:paraId="3D1B5EA5"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25">
        <w:r w:rsidRPr="00A4418F">
          <w:rPr>
            <w:lang w:val="es-US"/>
          </w:rPr>
          <w:t xml:space="preserve">Saino, N., Calza, S., &amp; Møller, A. P. (1998). </w:t>
        </w:r>
        <w:r>
          <w:t xml:space="preserve">Effects of a Dipteran Ectoparasite on Immune Response and Growth Trade-Offs in Barn Swallow, Hirundo rustica, Nestlings. </w:t>
        </w:r>
      </w:hyperlink>
      <w:hyperlink r:id="rId326">
        <w:r>
          <w:rPr>
            <w:i/>
          </w:rPr>
          <w:t>Oikos</w:t>
        </w:r>
      </w:hyperlink>
      <w:hyperlink r:id="rId327">
        <w:r>
          <w:t xml:space="preserve">, </w:t>
        </w:r>
      </w:hyperlink>
      <w:hyperlink r:id="rId328">
        <w:r>
          <w:rPr>
            <w:i/>
          </w:rPr>
          <w:t>81</w:t>
        </w:r>
      </w:hyperlink>
      <w:hyperlink r:id="rId329">
        <w:r>
          <w:t>(2), 217–228. https://doi.org/10.2307/3547043</w:t>
        </w:r>
      </w:hyperlink>
    </w:p>
    <w:p w14:paraId="5E0AB38F"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30">
        <w:r>
          <w:t xml:space="preserve">Schaible, U. E., &amp; Kaufmann, S. H. E. (2007). Malnutrition and Infection: Complex Mechanisms and Global Impacts. </w:t>
        </w:r>
      </w:hyperlink>
      <w:hyperlink r:id="rId331">
        <w:r>
          <w:rPr>
            <w:i/>
          </w:rPr>
          <w:t>PLOS Medicine</w:t>
        </w:r>
      </w:hyperlink>
      <w:hyperlink r:id="rId332">
        <w:r>
          <w:t xml:space="preserve">, </w:t>
        </w:r>
      </w:hyperlink>
      <w:hyperlink r:id="rId333">
        <w:r>
          <w:rPr>
            <w:i/>
          </w:rPr>
          <w:t>4</w:t>
        </w:r>
      </w:hyperlink>
      <w:hyperlink r:id="rId334">
        <w:r>
          <w:t>(5), e115. https://doi.org/10.1371/journal.pmed.0040115</w:t>
        </w:r>
      </w:hyperlink>
    </w:p>
    <w:p w14:paraId="5B976A10"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35">
        <w:r w:rsidRPr="00A4418F">
          <w:rPr>
            <w:lang w:val="es-US"/>
          </w:rPr>
          <w:t xml:space="preserve">Schmid, V. S., &amp; de Vries, H. (2013). </w:t>
        </w:r>
        <w:r>
          <w:t xml:space="preserve">Finding a dominance order most consistent with a linear hierarchy: An improved algorithm for the I&amp;SI method. </w:t>
        </w:r>
      </w:hyperlink>
      <w:hyperlink r:id="rId336">
        <w:r>
          <w:rPr>
            <w:i/>
          </w:rPr>
          <w:t>Animal Behaviour</w:t>
        </w:r>
      </w:hyperlink>
      <w:hyperlink r:id="rId337">
        <w:r>
          <w:t xml:space="preserve">, </w:t>
        </w:r>
      </w:hyperlink>
      <w:hyperlink r:id="rId338">
        <w:r>
          <w:rPr>
            <w:i/>
          </w:rPr>
          <w:t>86</w:t>
        </w:r>
      </w:hyperlink>
      <w:hyperlink r:id="rId339">
        <w:r>
          <w:t>(5), 1097–1105. http://dx.doi.org/10.1016/j.anbehav.2013.08.019</w:t>
        </w:r>
      </w:hyperlink>
    </w:p>
    <w:p w14:paraId="5ACCBDFB"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40">
        <w:r>
          <w:t xml:space="preserve">Schulte-Hostedde, A. I., Zinner, B., Millar, J. S., &amp; Hickling, G. J. (2005). Restitution of Mass–Size Residuals: Validating Body Condition Indices. </w:t>
        </w:r>
      </w:hyperlink>
      <w:hyperlink r:id="rId341">
        <w:r>
          <w:rPr>
            <w:i/>
          </w:rPr>
          <w:t>Ecology</w:t>
        </w:r>
      </w:hyperlink>
      <w:hyperlink r:id="rId342">
        <w:r>
          <w:t xml:space="preserve">, </w:t>
        </w:r>
      </w:hyperlink>
      <w:hyperlink r:id="rId343">
        <w:r>
          <w:rPr>
            <w:i/>
          </w:rPr>
          <w:t>86</w:t>
        </w:r>
      </w:hyperlink>
      <w:hyperlink r:id="rId344">
        <w:r>
          <w:t>(1), 155–163. https://doi.org/10.1890/04-0232</w:t>
        </w:r>
      </w:hyperlink>
    </w:p>
    <w:p w14:paraId="7BA11BAC"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45">
        <w:r>
          <w:t xml:space="preserve">Shattuck-Heidorn, H., Reiches, M. W., Prentice, A. M., Moore, S. E., &amp; Ellison, P. T. (2017). Energetics and the immune system: Trade-offs associated with non-acute levels of CRP in adolescent Gambian girls. </w:t>
        </w:r>
      </w:hyperlink>
      <w:hyperlink r:id="rId346">
        <w:r>
          <w:rPr>
            <w:i/>
          </w:rPr>
          <w:t>Evolution, Medicine, and Public Health</w:t>
        </w:r>
      </w:hyperlink>
      <w:hyperlink r:id="rId347">
        <w:r>
          <w:t xml:space="preserve">, </w:t>
        </w:r>
      </w:hyperlink>
      <w:hyperlink r:id="rId348">
        <w:r>
          <w:rPr>
            <w:i/>
          </w:rPr>
          <w:t>2017</w:t>
        </w:r>
      </w:hyperlink>
      <w:hyperlink r:id="rId349">
        <w:r>
          <w:t>(1), 27–38. https://doi.org/10.1093/emph/eow034</w:t>
        </w:r>
      </w:hyperlink>
    </w:p>
    <w:p w14:paraId="6EAF9F5A"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50">
        <w:r>
          <w:t xml:space="preserve">Soler, J. J., Neve, L. de, Pérez–Contreras, T., Soler, M., &amp; Sorci, G. (2003). Trade-off between immunocompetence and growth in magpies: An experimental study. </w:t>
        </w:r>
      </w:hyperlink>
      <w:hyperlink r:id="rId351">
        <w:r>
          <w:rPr>
            <w:i/>
          </w:rPr>
          <w:t>Proceedings of the Royal Society of London. Series B: Biological Sciences</w:t>
        </w:r>
      </w:hyperlink>
      <w:hyperlink r:id="rId352">
        <w:r>
          <w:t xml:space="preserve">, </w:t>
        </w:r>
      </w:hyperlink>
      <w:hyperlink r:id="rId353">
        <w:r>
          <w:rPr>
            <w:i/>
          </w:rPr>
          <w:t>270</w:t>
        </w:r>
      </w:hyperlink>
      <w:hyperlink r:id="rId354">
        <w:r>
          <w:t xml:space="preserve">(1512), 241–248. </w:t>
        </w:r>
        <w:r>
          <w:lastRenderedPageBreak/>
          <w:t>https://doi.org/10.1098/rspb.2002.2217</w:t>
        </w:r>
      </w:hyperlink>
    </w:p>
    <w:p w14:paraId="628121ED"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55">
        <w:r>
          <w:t xml:space="preserve">Takahashi, M. Q., Rothman, J. M., Raubenheimer, D., &amp; Cords, M. (2019). Dietary generalists and nutritional specialists: Feeding strategies of adult female blue monkeys (Cercopithecus mitis) in the Kakamega Forest, Kenya. </w:t>
        </w:r>
      </w:hyperlink>
      <w:hyperlink r:id="rId356">
        <w:r>
          <w:rPr>
            <w:i/>
          </w:rPr>
          <w:t>American Journal of Primatology</w:t>
        </w:r>
      </w:hyperlink>
      <w:hyperlink r:id="rId357">
        <w:r>
          <w:t xml:space="preserve">, </w:t>
        </w:r>
      </w:hyperlink>
      <w:hyperlink r:id="rId358">
        <w:r>
          <w:rPr>
            <w:i/>
          </w:rPr>
          <w:t>81</w:t>
        </w:r>
      </w:hyperlink>
      <w:hyperlink r:id="rId359">
        <w:r>
          <w:t>(7), e23016. https://doi.org/10.1002/ajp.23016</w:t>
        </w:r>
      </w:hyperlink>
    </w:p>
    <w:p w14:paraId="0EFF6009"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60">
        <w:r>
          <w:t xml:space="preserve">Thompson González, N., Otali, E., Machanda, Z., Muller, M. N., Wrangham, R., &amp; Emery Thompson, M. (2020). Urinary markers of oxidative stress respond to infection and late-life in wild chimpanzees. </w:t>
        </w:r>
      </w:hyperlink>
      <w:hyperlink r:id="rId361">
        <w:r>
          <w:rPr>
            <w:i/>
          </w:rPr>
          <w:t>PLOS ONE</w:t>
        </w:r>
      </w:hyperlink>
      <w:hyperlink r:id="rId362">
        <w:r>
          <w:t xml:space="preserve">, </w:t>
        </w:r>
      </w:hyperlink>
      <w:hyperlink r:id="rId363">
        <w:r>
          <w:rPr>
            <w:i/>
          </w:rPr>
          <w:t>15</w:t>
        </w:r>
      </w:hyperlink>
      <w:hyperlink r:id="rId364">
        <w:r>
          <w:t>(9), e0238066. https://doi.org/10.1371/journal.pone.0238066</w:t>
        </w:r>
      </w:hyperlink>
    </w:p>
    <w:p w14:paraId="7613F210"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65">
        <w:r>
          <w:t xml:space="preserve">Thompson, N. A., Higham, J. P., Heistermann, M., Vogel, E., &amp; Cords, M. (2020). Energy balance but not competitive environment corresponds with allostatic load during development in an Old World monkey. </w:t>
        </w:r>
      </w:hyperlink>
      <w:hyperlink r:id="rId366">
        <w:r>
          <w:rPr>
            <w:i/>
          </w:rPr>
          <w:t>Hormones and Behavior</w:t>
        </w:r>
      </w:hyperlink>
      <w:hyperlink r:id="rId367">
        <w:r>
          <w:t xml:space="preserve">, </w:t>
        </w:r>
      </w:hyperlink>
      <w:hyperlink r:id="rId368">
        <w:r>
          <w:rPr>
            <w:i/>
          </w:rPr>
          <w:t>119</w:t>
        </w:r>
      </w:hyperlink>
      <w:hyperlink r:id="rId369">
        <w:r>
          <w:t>, 104664. https://doi.org/10.1016/j.yhbeh.2019.104664</w:t>
        </w:r>
      </w:hyperlink>
    </w:p>
    <w:p w14:paraId="763A43E0"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70">
        <w:r>
          <w:t xml:space="preserve">Tizard, I. (2008). Sickness behavior, its mechanisms and significance. </w:t>
        </w:r>
      </w:hyperlink>
      <w:hyperlink r:id="rId371">
        <w:r>
          <w:rPr>
            <w:i/>
          </w:rPr>
          <w:t>Animal Health Research Reviews</w:t>
        </w:r>
      </w:hyperlink>
      <w:hyperlink r:id="rId372">
        <w:r>
          <w:t xml:space="preserve">, </w:t>
        </w:r>
      </w:hyperlink>
      <w:hyperlink r:id="rId373">
        <w:r>
          <w:rPr>
            <w:i/>
          </w:rPr>
          <w:t>9</w:t>
        </w:r>
      </w:hyperlink>
      <w:hyperlink r:id="rId374">
        <w:r>
          <w:t>(1), 87–99. https://doi.org/10.1017/S1466252308001448</w:t>
        </w:r>
      </w:hyperlink>
    </w:p>
    <w:p w14:paraId="344AD027"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75">
        <w:r>
          <w:t xml:space="preserve">Urlacher, S. S., Ellison, P. T., Sugiyama, L. S., Pontzer, H., Eick, G., Liebert, M. A., Cepon-Robins, T. J., Gildner, T. E., &amp; Snodgrass, J. J. (2018). Tradeoffs between immune function and childhood growth among Amazonian forager-horticulturalists. </w:t>
        </w:r>
      </w:hyperlink>
      <w:hyperlink r:id="rId376">
        <w:r>
          <w:rPr>
            <w:i/>
          </w:rPr>
          <w:t>Proceedings of the National Academy of Sciences</w:t>
        </w:r>
      </w:hyperlink>
      <w:hyperlink r:id="rId377">
        <w:r>
          <w:t xml:space="preserve">, </w:t>
        </w:r>
      </w:hyperlink>
      <w:hyperlink r:id="rId378">
        <w:r>
          <w:rPr>
            <w:i/>
          </w:rPr>
          <w:t>115</w:t>
        </w:r>
      </w:hyperlink>
      <w:hyperlink r:id="rId379">
        <w:r>
          <w:t>(17), E3914–E3921. https://doi.org/10.1073/pnas.1717522115</w:t>
        </w:r>
      </w:hyperlink>
    </w:p>
    <w:p w14:paraId="352031AC"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80">
        <w:r>
          <w:t xml:space="preserve">van der Most, P. J., de Jong, B., Parmentier, H. K., &amp; Verhulst, S. (2011). Trade-off between growth and immune function: A meta-analysis of selection experiments. </w:t>
        </w:r>
      </w:hyperlink>
      <w:hyperlink r:id="rId381">
        <w:r>
          <w:rPr>
            <w:i/>
          </w:rPr>
          <w:t>Functional Ecology</w:t>
        </w:r>
      </w:hyperlink>
      <w:hyperlink r:id="rId382">
        <w:r>
          <w:t xml:space="preserve">, </w:t>
        </w:r>
      </w:hyperlink>
      <w:hyperlink r:id="rId383">
        <w:r>
          <w:rPr>
            <w:i/>
          </w:rPr>
          <w:t>25</w:t>
        </w:r>
      </w:hyperlink>
      <w:hyperlink r:id="rId384">
        <w:r>
          <w:t>(1), 74–80. https://doi.org/10.1111/j.1365-2435.2010.01800.x</w:t>
        </w:r>
      </w:hyperlink>
    </w:p>
    <w:p w14:paraId="2F1E7498"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85">
        <w:r>
          <w:t xml:space="preserve">Vogel, E. R., Zulfa, A., Utami Atmoko, &amp; Moldawer, L. L. (2024). Nutrition and Immune Function in Primates. In </w:t>
        </w:r>
      </w:hyperlink>
      <w:hyperlink r:id="rId386">
        <w:r>
          <w:rPr>
            <w:i/>
          </w:rPr>
          <w:t>Primate Diet and Nutrition</w:t>
        </w:r>
      </w:hyperlink>
      <w:hyperlink r:id="rId387">
        <w:r>
          <w:t xml:space="preserve"> (pp. 198–221). University of Chicago Press.</w:t>
        </w:r>
      </w:hyperlink>
    </w:p>
    <w:p w14:paraId="3E6BAE48"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88">
        <w:r>
          <w:t xml:space="preserve">Weavers, H., Wood, W., &amp; Martin, P. (2019). Injury Activates a Dynamic Cytoprotective Network </w:t>
        </w:r>
        <w:r>
          <w:lastRenderedPageBreak/>
          <w:t xml:space="preserve">to Confer Stress Resilience and Drive Repair. </w:t>
        </w:r>
      </w:hyperlink>
      <w:hyperlink r:id="rId389">
        <w:r>
          <w:rPr>
            <w:i/>
          </w:rPr>
          <w:t>Current Biology</w:t>
        </w:r>
      </w:hyperlink>
      <w:hyperlink r:id="rId390">
        <w:r>
          <w:t xml:space="preserve">, </w:t>
        </w:r>
      </w:hyperlink>
      <w:hyperlink r:id="rId391">
        <w:r>
          <w:rPr>
            <w:i/>
          </w:rPr>
          <w:t>29</w:t>
        </w:r>
      </w:hyperlink>
      <w:hyperlink r:id="rId392">
        <w:r>
          <w:t>(22), 3851-3862.e4. https://doi.org/10.1016/j.cub.2019.09.035</w:t>
        </w:r>
      </w:hyperlink>
    </w:p>
    <w:p w14:paraId="4409C970"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93">
        <w:r>
          <w:t xml:space="preserve">Xu, D.-L., &amp; Wang, D.-H. (2010). Fasting suppresses T cell-mediated immunity in female Mongolian gerbils (Meriones unguiculatus). </w:t>
        </w:r>
      </w:hyperlink>
      <w:hyperlink r:id="rId394">
        <w:r>
          <w:rPr>
            <w:i/>
          </w:rPr>
          <w:t>Comparative Biochemistry and Physiology Part A: Molecular &amp; Integrative Physiology</w:t>
        </w:r>
      </w:hyperlink>
      <w:hyperlink r:id="rId395">
        <w:r>
          <w:t xml:space="preserve">, </w:t>
        </w:r>
      </w:hyperlink>
      <w:hyperlink r:id="rId396">
        <w:r>
          <w:rPr>
            <w:i/>
          </w:rPr>
          <w:t>155</w:t>
        </w:r>
      </w:hyperlink>
      <w:hyperlink r:id="rId397">
        <w:r>
          <w:t>(1), 25–33. https://doi.org/10.1016/j.cbpa.2009.09.003</w:t>
        </w:r>
      </w:hyperlink>
    </w:p>
    <w:p w14:paraId="468199E4" w14:textId="77777777" w:rsidR="00761594" w:rsidRDefault="00000000">
      <w:pPr>
        <w:widowControl w:val="0"/>
        <w:pBdr>
          <w:top w:val="nil"/>
          <w:left w:val="nil"/>
          <w:bottom w:val="nil"/>
          <w:right w:val="nil"/>
          <w:between w:val="nil"/>
        </w:pBdr>
        <w:spacing w:line="480" w:lineRule="auto"/>
        <w:ind w:left="720" w:hanging="720"/>
        <w:rPr>
          <w:rFonts w:ascii="Calibri" w:eastAsia="Calibri" w:hAnsi="Calibri" w:cs="Calibri"/>
          <w:b/>
        </w:rPr>
      </w:pPr>
      <w:hyperlink r:id="rId398">
        <w:r>
          <w:t xml:space="preserve">Zysling, D. A., &amp; Demas, G. E. (2007). Metabolic stress suppresses humoral immune function in long-day, but not short-day, Siberian hamsters (Phodopus sungorus). </w:t>
        </w:r>
      </w:hyperlink>
      <w:hyperlink r:id="rId399">
        <w:r>
          <w:rPr>
            <w:i/>
          </w:rPr>
          <w:t>Journal of Comparative Physiology B</w:t>
        </w:r>
      </w:hyperlink>
      <w:hyperlink r:id="rId400">
        <w:r>
          <w:t xml:space="preserve">, </w:t>
        </w:r>
      </w:hyperlink>
      <w:hyperlink r:id="rId401">
        <w:r>
          <w:rPr>
            <w:i/>
          </w:rPr>
          <w:t>177</w:t>
        </w:r>
      </w:hyperlink>
      <w:hyperlink r:id="rId402">
        <w:r>
          <w:t>(3), 339–347. https://doi.org/10.1007/s00360-006-0133-4</w:t>
        </w:r>
      </w:hyperlink>
    </w:p>
    <w:p w14:paraId="74F98F40" w14:textId="77777777" w:rsidR="00761594" w:rsidRDefault="00761594">
      <w:pPr>
        <w:rPr>
          <w:rFonts w:ascii="Calibri" w:eastAsia="Calibri" w:hAnsi="Calibri" w:cs="Calibri"/>
        </w:rPr>
      </w:pPr>
    </w:p>
    <w:p w14:paraId="2C53F177" w14:textId="08AD04E3" w:rsidR="00761594" w:rsidRDefault="00761594">
      <w:pPr>
        <w:rPr>
          <w:rFonts w:ascii="Calibri" w:eastAsia="Calibri" w:hAnsi="Calibri" w:cs="Calibri"/>
        </w:rPr>
      </w:pPr>
    </w:p>
    <w:p w14:paraId="2B632D63" w14:textId="77777777" w:rsidR="00761594" w:rsidRDefault="00761594">
      <w:pPr>
        <w:rPr>
          <w:rFonts w:ascii="Calibri" w:eastAsia="Calibri" w:hAnsi="Calibri" w:cs="Calibri"/>
        </w:rPr>
      </w:pPr>
    </w:p>
    <w:p w14:paraId="16D0E990" w14:textId="77777777" w:rsidR="00761594" w:rsidRDefault="00761594">
      <w:pPr>
        <w:rPr>
          <w:rFonts w:ascii="Calibri" w:eastAsia="Calibri" w:hAnsi="Calibri" w:cs="Calibri"/>
        </w:rPr>
      </w:pPr>
    </w:p>
    <w:p w14:paraId="679CEE6F" w14:textId="77777777" w:rsidR="00761594" w:rsidRDefault="00761594">
      <w:pPr>
        <w:rPr>
          <w:rFonts w:ascii="Calibri" w:eastAsia="Calibri" w:hAnsi="Calibri" w:cs="Calibri"/>
        </w:rPr>
      </w:pPr>
    </w:p>
    <w:p w14:paraId="0A741037" w14:textId="77777777" w:rsidR="00761594" w:rsidRDefault="00761594">
      <w:pPr>
        <w:rPr>
          <w:rFonts w:ascii="Calibri" w:eastAsia="Calibri" w:hAnsi="Calibri" w:cs="Calibri"/>
        </w:rPr>
      </w:pPr>
    </w:p>
    <w:sectPr w:rsidR="00761594" w:rsidSect="00DF3F6C">
      <w:footerReference w:type="default" r:id="rId40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1B7C0" w14:textId="77777777" w:rsidR="00EF6229" w:rsidRDefault="00EF6229">
      <w:pPr>
        <w:spacing w:line="240" w:lineRule="auto"/>
      </w:pPr>
      <w:r>
        <w:separator/>
      </w:r>
    </w:p>
  </w:endnote>
  <w:endnote w:type="continuationSeparator" w:id="0">
    <w:p w14:paraId="097DBD1A" w14:textId="77777777" w:rsidR="00EF6229" w:rsidRDefault="00EF6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5669" w14:textId="77777777" w:rsidR="00761594" w:rsidRDefault="00000000">
    <w:pPr>
      <w:jc w:val="right"/>
    </w:pPr>
    <w:r>
      <w:fldChar w:fldCharType="begin"/>
    </w:r>
    <w:r>
      <w:instrText>PAGE</w:instrText>
    </w:r>
    <w:r>
      <w:fldChar w:fldCharType="separate"/>
    </w:r>
    <w:r w:rsidR="00A4418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E4CAA" w14:textId="77777777" w:rsidR="00EF6229" w:rsidRDefault="00EF6229">
      <w:pPr>
        <w:spacing w:line="240" w:lineRule="auto"/>
      </w:pPr>
      <w:r>
        <w:separator/>
      </w:r>
    </w:p>
  </w:footnote>
  <w:footnote w:type="continuationSeparator" w:id="0">
    <w:p w14:paraId="34EFDF40" w14:textId="77777777" w:rsidR="00EF6229" w:rsidRDefault="00EF62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709F"/>
    <w:multiLevelType w:val="multilevel"/>
    <w:tmpl w:val="B7C22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E32EE7"/>
    <w:multiLevelType w:val="multilevel"/>
    <w:tmpl w:val="080E7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910682">
    <w:abstractNumId w:val="1"/>
  </w:num>
  <w:num w:numId="2" w16cid:durableId="63788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594"/>
    <w:rsid w:val="001E12B6"/>
    <w:rsid w:val="002C1B12"/>
    <w:rsid w:val="003B4E97"/>
    <w:rsid w:val="004435CC"/>
    <w:rsid w:val="00566350"/>
    <w:rsid w:val="00761594"/>
    <w:rsid w:val="00A4418F"/>
    <w:rsid w:val="00C21B3A"/>
    <w:rsid w:val="00DF3F6C"/>
    <w:rsid w:val="00E176B4"/>
    <w:rsid w:val="00EF6229"/>
    <w:rsid w:val="00F246F3"/>
    <w:rsid w:val="00F25A88"/>
    <w:rsid w:val="00F7335F"/>
    <w:rsid w:val="00FF5DB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5C93"/>
  <w15:docId w15:val="{489F9FE9-C9C0-534A-A990-C49BF625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3B4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zotero.org/google-docs/?vso19R" TargetMode="External"/><Relationship Id="rId299" Type="http://schemas.openxmlformats.org/officeDocument/2006/relationships/hyperlink" Target="https://www.zotero.org/google-docs/?vso19R" TargetMode="External"/><Relationship Id="rId21" Type="http://schemas.openxmlformats.org/officeDocument/2006/relationships/hyperlink" Target="https://www.zotero.org/google-docs/?4wfWl6" TargetMode="External"/><Relationship Id="rId63" Type="http://schemas.openxmlformats.org/officeDocument/2006/relationships/hyperlink" Target="https://www.zotero.org/google-docs/?TFvNUy" TargetMode="External"/><Relationship Id="rId159" Type="http://schemas.openxmlformats.org/officeDocument/2006/relationships/hyperlink" Target="https://www.zotero.org/google-docs/?vso19R" TargetMode="External"/><Relationship Id="rId324" Type="http://schemas.openxmlformats.org/officeDocument/2006/relationships/hyperlink" Target="https://www.zotero.org/google-docs/?vso19R" TargetMode="External"/><Relationship Id="rId366" Type="http://schemas.openxmlformats.org/officeDocument/2006/relationships/hyperlink" Target="https://www.zotero.org/google-docs/?vso19R" TargetMode="External"/><Relationship Id="rId170" Type="http://schemas.openxmlformats.org/officeDocument/2006/relationships/hyperlink" Target="https://www.zotero.org/google-docs/?vso19R" TargetMode="External"/><Relationship Id="rId226" Type="http://schemas.openxmlformats.org/officeDocument/2006/relationships/hyperlink" Target="https://www.zotero.org/google-docs/?vso19R" TargetMode="External"/><Relationship Id="rId268" Type="http://schemas.openxmlformats.org/officeDocument/2006/relationships/hyperlink" Target="https://www.zotero.org/google-docs/?vso19R" TargetMode="External"/><Relationship Id="rId32" Type="http://schemas.openxmlformats.org/officeDocument/2006/relationships/hyperlink" Target="https://www.zotero.org/google-docs/?SdcCfE" TargetMode="External"/><Relationship Id="rId74" Type="http://schemas.openxmlformats.org/officeDocument/2006/relationships/hyperlink" Target="https://www.zotero.org/google-docs/?MtGTRt" TargetMode="External"/><Relationship Id="rId128" Type="http://schemas.openxmlformats.org/officeDocument/2006/relationships/hyperlink" Target="https://www.zotero.org/google-docs/?vso19R" TargetMode="External"/><Relationship Id="rId335" Type="http://schemas.openxmlformats.org/officeDocument/2006/relationships/hyperlink" Target="https://www.zotero.org/google-docs/?vso19R" TargetMode="External"/><Relationship Id="rId377" Type="http://schemas.openxmlformats.org/officeDocument/2006/relationships/hyperlink" Target="https://www.zotero.org/google-docs/?vso19R" TargetMode="External"/><Relationship Id="rId5" Type="http://schemas.openxmlformats.org/officeDocument/2006/relationships/footnotes" Target="footnotes.xml"/><Relationship Id="rId181" Type="http://schemas.openxmlformats.org/officeDocument/2006/relationships/hyperlink" Target="https://www.zotero.org/google-docs/?vso19R" TargetMode="External"/><Relationship Id="rId237" Type="http://schemas.openxmlformats.org/officeDocument/2006/relationships/hyperlink" Target="https://www.zotero.org/google-docs/?vso19R" TargetMode="External"/><Relationship Id="rId402" Type="http://schemas.openxmlformats.org/officeDocument/2006/relationships/hyperlink" Target="https://www.zotero.org/google-docs/?vso19R" TargetMode="External"/><Relationship Id="rId279" Type="http://schemas.openxmlformats.org/officeDocument/2006/relationships/hyperlink" Target="https://www.zotero.org/google-docs/?vso19R" TargetMode="External"/><Relationship Id="rId43" Type="http://schemas.openxmlformats.org/officeDocument/2006/relationships/hyperlink" Target="https://www.zotero.org/google-docs/?tlsLFK" TargetMode="External"/><Relationship Id="rId139" Type="http://schemas.openxmlformats.org/officeDocument/2006/relationships/hyperlink" Target="https://www.zotero.org/google-docs/?vso19R" TargetMode="External"/><Relationship Id="rId290" Type="http://schemas.openxmlformats.org/officeDocument/2006/relationships/hyperlink" Target="https://www.zotero.org/google-docs/?vso19R" TargetMode="External"/><Relationship Id="rId304" Type="http://schemas.openxmlformats.org/officeDocument/2006/relationships/hyperlink" Target="https://www.zotero.org/google-docs/?vso19R" TargetMode="External"/><Relationship Id="rId346" Type="http://schemas.openxmlformats.org/officeDocument/2006/relationships/hyperlink" Target="https://www.zotero.org/google-docs/?vso19R" TargetMode="External"/><Relationship Id="rId388" Type="http://schemas.openxmlformats.org/officeDocument/2006/relationships/hyperlink" Target="https://www.zotero.org/google-docs/?vso19R" TargetMode="External"/><Relationship Id="rId85" Type="http://schemas.openxmlformats.org/officeDocument/2006/relationships/hyperlink" Target="https://www.zotero.org/google-docs/?vso19R" TargetMode="External"/><Relationship Id="rId150" Type="http://schemas.openxmlformats.org/officeDocument/2006/relationships/hyperlink" Target="https://www.zotero.org/google-docs/?vso19R" TargetMode="External"/><Relationship Id="rId192" Type="http://schemas.openxmlformats.org/officeDocument/2006/relationships/hyperlink" Target="https://www.zotero.org/google-docs/?vso19R" TargetMode="External"/><Relationship Id="rId206" Type="http://schemas.openxmlformats.org/officeDocument/2006/relationships/hyperlink" Target="https://www.zotero.org/google-docs/?vso19R" TargetMode="External"/><Relationship Id="rId248" Type="http://schemas.openxmlformats.org/officeDocument/2006/relationships/hyperlink" Target="https://www.zotero.org/google-docs/?vso19R" TargetMode="External"/><Relationship Id="rId12" Type="http://schemas.openxmlformats.org/officeDocument/2006/relationships/hyperlink" Target="https://www.zotero.org/google-docs/?uD5xeF" TargetMode="External"/><Relationship Id="rId108" Type="http://schemas.openxmlformats.org/officeDocument/2006/relationships/hyperlink" Target="https://www.zotero.org/google-docs/?vso19R" TargetMode="External"/><Relationship Id="rId315" Type="http://schemas.openxmlformats.org/officeDocument/2006/relationships/hyperlink" Target="https://www.zotero.org/google-docs/?vso19R" TargetMode="External"/><Relationship Id="rId357" Type="http://schemas.openxmlformats.org/officeDocument/2006/relationships/hyperlink" Target="https://www.zotero.org/google-docs/?vso19R" TargetMode="External"/><Relationship Id="rId54" Type="http://schemas.openxmlformats.org/officeDocument/2006/relationships/hyperlink" Target="https://www.zotero.org/google-docs/?eBhWbo" TargetMode="External"/><Relationship Id="rId96" Type="http://schemas.openxmlformats.org/officeDocument/2006/relationships/hyperlink" Target="https://www.zotero.org/google-docs/?vso19R" TargetMode="External"/><Relationship Id="rId161" Type="http://schemas.openxmlformats.org/officeDocument/2006/relationships/hyperlink" Target="https://www.zotero.org/google-docs/?vso19R" TargetMode="External"/><Relationship Id="rId217" Type="http://schemas.openxmlformats.org/officeDocument/2006/relationships/hyperlink" Target="https://www.zotero.org/google-docs/?vso19R" TargetMode="External"/><Relationship Id="rId399" Type="http://schemas.openxmlformats.org/officeDocument/2006/relationships/hyperlink" Target="https://www.zotero.org/google-docs/?vso19R" TargetMode="External"/><Relationship Id="rId259" Type="http://schemas.openxmlformats.org/officeDocument/2006/relationships/hyperlink" Target="https://www.zotero.org/google-docs/?vso19R" TargetMode="External"/><Relationship Id="rId23" Type="http://schemas.openxmlformats.org/officeDocument/2006/relationships/hyperlink" Target="https://www.zotero.org/google-docs/?6mutkg" TargetMode="External"/><Relationship Id="rId119" Type="http://schemas.openxmlformats.org/officeDocument/2006/relationships/hyperlink" Target="https://www.zotero.org/google-docs/?vso19R" TargetMode="External"/><Relationship Id="rId270" Type="http://schemas.openxmlformats.org/officeDocument/2006/relationships/hyperlink" Target="https://www.zotero.org/google-docs/?vso19R" TargetMode="External"/><Relationship Id="rId326" Type="http://schemas.openxmlformats.org/officeDocument/2006/relationships/hyperlink" Target="https://www.zotero.org/google-docs/?vso19R" TargetMode="External"/><Relationship Id="rId65" Type="http://schemas.openxmlformats.org/officeDocument/2006/relationships/image" Target="media/image2.png"/><Relationship Id="rId130" Type="http://schemas.openxmlformats.org/officeDocument/2006/relationships/hyperlink" Target="https://www.zotero.org/google-docs/?vso19R" TargetMode="External"/><Relationship Id="rId368" Type="http://schemas.openxmlformats.org/officeDocument/2006/relationships/hyperlink" Target="https://www.zotero.org/google-docs/?vso19R" TargetMode="External"/><Relationship Id="rId172" Type="http://schemas.openxmlformats.org/officeDocument/2006/relationships/hyperlink" Target="https://www.zotero.org/google-docs/?vso19R" TargetMode="External"/><Relationship Id="rId228" Type="http://schemas.openxmlformats.org/officeDocument/2006/relationships/hyperlink" Target="https://www.zotero.org/google-docs/?vso19R" TargetMode="External"/><Relationship Id="rId281" Type="http://schemas.openxmlformats.org/officeDocument/2006/relationships/hyperlink" Target="https://www.zotero.org/google-docs/?vso19R" TargetMode="External"/><Relationship Id="rId337" Type="http://schemas.openxmlformats.org/officeDocument/2006/relationships/hyperlink" Target="https://www.zotero.org/google-docs/?vso19R" TargetMode="External"/><Relationship Id="rId34" Type="http://schemas.openxmlformats.org/officeDocument/2006/relationships/hyperlink" Target="https://www.zotero.org/google-docs/?7XkIc2" TargetMode="External"/><Relationship Id="rId76" Type="http://schemas.openxmlformats.org/officeDocument/2006/relationships/hyperlink" Target="https://www.zotero.org/google-docs/?kJMG5V" TargetMode="External"/><Relationship Id="rId141" Type="http://schemas.openxmlformats.org/officeDocument/2006/relationships/hyperlink" Target="https://www.zotero.org/google-docs/?vso19R" TargetMode="External"/><Relationship Id="rId379" Type="http://schemas.openxmlformats.org/officeDocument/2006/relationships/hyperlink" Target="https://www.zotero.org/google-docs/?vso19R" TargetMode="External"/><Relationship Id="rId7" Type="http://schemas.openxmlformats.org/officeDocument/2006/relationships/hyperlink" Target="https://www.zotero.org/google-docs/?qxQy31" TargetMode="External"/><Relationship Id="rId183" Type="http://schemas.openxmlformats.org/officeDocument/2006/relationships/hyperlink" Target="https://www.zotero.org/google-docs/?vso19R" TargetMode="External"/><Relationship Id="rId239" Type="http://schemas.openxmlformats.org/officeDocument/2006/relationships/hyperlink" Target="https://www.zotero.org/google-docs/?vso19R" TargetMode="External"/><Relationship Id="rId390" Type="http://schemas.openxmlformats.org/officeDocument/2006/relationships/hyperlink" Target="https://www.zotero.org/google-docs/?vso19R" TargetMode="External"/><Relationship Id="rId404" Type="http://schemas.openxmlformats.org/officeDocument/2006/relationships/fontTable" Target="fontTable.xml"/><Relationship Id="rId250" Type="http://schemas.openxmlformats.org/officeDocument/2006/relationships/hyperlink" Target="https://www.zotero.org/google-docs/?vso19R" TargetMode="External"/><Relationship Id="rId292" Type="http://schemas.openxmlformats.org/officeDocument/2006/relationships/hyperlink" Target="https://www.zotero.org/google-docs/?vso19R" TargetMode="External"/><Relationship Id="rId306" Type="http://schemas.openxmlformats.org/officeDocument/2006/relationships/hyperlink" Target="https://www.zotero.org/google-docs/?vso19R" TargetMode="External"/><Relationship Id="rId45" Type="http://schemas.openxmlformats.org/officeDocument/2006/relationships/hyperlink" Target="https://www.zotero.org/google-docs/?ijpDog" TargetMode="External"/><Relationship Id="rId87" Type="http://schemas.openxmlformats.org/officeDocument/2006/relationships/hyperlink" Target="https://www.zotero.org/google-docs/?vso19R" TargetMode="External"/><Relationship Id="rId110" Type="http://schemas.openxmlformats.org/officeDocument/2006/relationships/hyperlink" Target="https://www.zotero.org/google-docs/?vso19R" TargetMode="External"/><Relationship Id="rId348" Type="http://schemas.openxmlformats.org/officeDocument/2006/relationships/hyperlink" Target="https://www.zotero.org/google-docs/?vso19R" TargetMode="External"/><Relationship Id="rId152" Type="http://schemas.openxmlformats.org/officeDocument/2006/relationships/hyperlink" Target="https://www.zotero.org/google-docs/?vso19R" TargetMode="External"/><Relationship Id="rId194" Type="http://schemas.openxmlformats.org/officeDocument/2006/relationships/hyperlink" Target="https://www.zotero.org/google-docs/?vso19R" TargetMode="External"/><Relationship Id="rId208" Type="http://schemas.openxmlformats.org/officeDocument/2006/relationships/hyperlink" Target="https://www.zotero.org/google-docs/?vso19R" TargetMode="External"/><Relationship Id="rId261" Type="http://schemas.openxmlformats.org/officeDocument/2006/relationships/hyperlink" Target="https://www.zotero.org/google-docs/?vso19R" TargetMode="External"/><Relationship Id="rId14" Type="http://schemas.openxmlformats.org/officeDocument/2006/relationships/hyperlink" Target="https://www.zotero.org/google-docs/?wVSnIN" TargetMode="External"/><Relationship Id="rId56" Type="http://schemas.openxmlformats.org/officeDocument/2006/relationships/hyperlink" Target="https://www.zotero.org/google-docs/?N5yyqy" TargetMode="External"/><Relationship Id="rId317" Type="http://schemas.openxmlformats.org/officeDocument/2006/relationships/hyperlink" Target="https://www.zotero.org/google-docs/?vso19R" TargetMode="External"/><Relationship Id="rId359" Type="http://schemas.openxmlformats.org/officeDocument/2006/relationships/hyperlink" Target="https://www.zotero.org/google-docs/?vso19R" TargetMode="External"/><Relationship Id="rId98" Type="http://schemas.openxmlformats.org/officeDocument/2006/relationships/hyperlink" Target="https://www.zotero.org/google-docs/?vso19R" TargetMode="External"/><Relationship Id="rId121" Type="http://schemas.openxmlformats.org/officeDocument/2006/relationships/hyperlink" Target="https://www.zotero.org/google-docs/?vso19R" TargetMode="External"/><Relationship Id="rId163" Type="http://schemas.openxmlformats.org/officeDocument/2006/relationships/hyperlink" Target="https://www.zotero.org/google-docs/?vso19R" TargetMode="External"/><Relationship Id="rId219" Type="http://schemas.openxmlformats.org/officeDocument/2006/relationships/hyperlink" Target="https://www.zotero.org/google-docs/?vso19R" TargetMode="External"/><Relationship Id="rId370" Type="http://schemas.openxmlformats.org/officeDocument/2006/relationships/hyperlink" Target="https://www.zotero.org/google-docs/?vso19R" TargetMode="External"/><Relationship Id="rId230" Type="http://schemas.openxmlformats.org/officeDocument/2006/relationships/hyperlink" Target="https://www.zotero.org/google-docs/?vso19R" TargetMode="External"/><Relationship Id="rId25" Type="http://schemas.openxmlformats.org/officeDocument/2006/relationships/hyperlink" Target="https://www.zotero.org/google-docs/?4CG0Tk" TargetMode="External"/><Relationship Id="rId67" Type="http://schemas.openxmlformats.org/officeDocument/2006/relationships/hyperlink" Target="https://www.zotero.org/google-docs/?vEYWZ1" TargetMode="External"/><Relationship Id="rId272" Type="http://schemas.openxmlformats.org/officeDocument/2006/relationships/hyperlink" Target="https://www.zotero.org/google-docs/?vso19R" TargetMode="External"/><Relationship Id="rId328" Type="http://schemas.openxmlformats.org/officeDocument/2006/relationships/hyperlink" Target="https://www.zotero.org/google-docs/?vso19R" TargetMode="External"/><Relationship Id="rId132" Type="http://schemas.openxmlformats.org/officeDocument/2006/relationships/hyperlink" Target="https://www.zotero.org/google-docs/?vso19R" TargetMode="External"/><Relationship Id="rId174" Type="http://schemas.openxmlformats.org/officeDocument/2006/relationships/hyperlink" Target="https://www.zotero.org/google-docs/?vso19R" TargetMode="External"/><Relationship Id="rId381" Type="http://schemas.openxmlformats.org/officeDocument/2006/relationships/hyperlink" Target="https://www.zotero.org/google-docs/?vso19R" TargetMode="External"/><Relationship Id="rId241" Type="http://schemas.openxmlformats.org/officeDocument/2006/relationships/hyperlink" Target="https://www.zotero.org/google-docs/?vso19R" TargetMode="External"/><Relationship Id="rId36" Type="http://schemas.openxmlformats.org/officeDocument/2006/relationships/hyperlink" Target="https://www.zotero.org/google-docs/?pbxQAH" TargetMode="External"/><Relationship Id="rId283" Type="http://schemas.openxmlformats.org/officeDocument/2006/relationships/hyperlink" Target="https://www.zotero.org/google-docs/?vso19R" TargetMode="External"/><Relationship Id="rId339" Type="http://schemas.openxmlformats.org/officeDocument/2006/relationships/hyperlink" Target="https://www.zotero.org/google-docs/?vso19R" TargetMode="External"/><Relationship Id="rId78" Type="http://schemas.openxmlformats.org/officeDocument/2006/relationships/hyperlink" Target="https://www.zotero.org/google-docs/?VweCTn" TargetMode="External"/><Relationship Id="rId101" Type="http://schemas.openxmlformats.org/officeDocument/2006/relationships/hyperlink" Target="https://www.zotero.org/google-docs/?vso19R" TargetMode="External"/><Relationship Id="rId143" Type="http://schemas.openxmlformats.org/officeDocument/2006/relationships/hyperlink" Target="https://www.zotero.org/google-docs/?vso19R" TargetMode="External"/><Relationship Id="rId185" Type="http://schemas.openxmlformats.org/officeDocument/2006/relationships/hyperlink" Target="https://www.zotero.org/google-docs/?vso19R" TargetMode="External"/><Relationship Id="rId350" Type="http://schemas.openxmlformats.org/officeDocument/2006/relationships/hyperlink" Target="https://www.zotero.org/google-docs/?vso19R" TargetMode="External"/><Relationship Id="rId9" Type="http://schemas.openxmlformats.org/officeDocument/2006/relationships/hyperlink" Target="https://www.zotero.org/google-docs/?WsY0bk" TargetMode="External"/><Relationship Id="rId210" Type="http://schemas.openxmlformats.org/officeDocument/2006/relationships/hyperlink" Target="https://www.zotero.org/google-docs/?vso19R" TargetMode="External"/><Relationship Id="rId392" Type="http://schemas.openxmlformats.org/officeDocument/2006/relationships/hyperlink" Target="https://www.zotero.org/google-docs/?vso19R" TargetMode="External"/><Relationship Id="rId252" Type="http://schemas.openxmlformats.org/officeDocument/2006/relationships/hyperlink" Target="https://www.zotero.org/google-docs/?vso19R" TargetMode="External"/><Relationship Id="rId294" Type="http://schemas.openxmlformats.org/officeDocument/2006/relationships/hyperlink" Target="https://www.zotero.org/google-docs/?vso19R" TargetMode="External"/><Relationship Id="rId308" Type="http://schemas.openxmlformats.org/officeDocument/2006/relationships/hyperlink" Target="https://www.zotero.org/google-docs/?vso19R" TargetMode="External"/><Relationship Id="rId47" Type="http://schemas.openxmlformats.org/officeDocument/2006/relationships/hyperlink" Target="https://www.zotero.org/google-docs/?LHCfsJ" TargetMode="External"/><Relationship Id="rId89" Type="http://schemas.openxmlformats.org/officeDocument/2006/relationships/hyperlink" Target="https://www.zotero.org/google-docs/?vso19R" TargetMode="External"/><Relationship Id="rId112" Type="http://schemas.openxmlformats.org/officeDocument/2006/relationships/hyperlink" Target="https://www.zotero.org/google-docs/?vso19R" TargetMode="External"/><Relationship Id="rId154" Type="http://schemas.openxmlformats.org/officeDocument/2006/relationships/hyperlink" Target="https://www.zotero.org/google-docs/?vso19R" TargetMode="External"/><Relationship Id="rId361" Type="http://schemas.openxmlformats.org/officeDocument/2006/relationships/hyperlink" Target="https://www.zotero.org/google-docs/?vso19R" TargetMode="External"/><Relationship Id="rId196" Type="http://schemas.openxmlformats.org/officeDocument/2006/relationships/hyperlink" Target="https://www.zotero.org/google-docs/?vso19R" TargetMode="External"/><Relationship Id="rId16" Type="http://schemas.openxmlformats.org/officeDocument/2006/relationships/hyperlink" Target="https://www.zotero.org/google-docs/?8kRR0n" TargetMode="External"/><Relationship Id="rId221" Type="http://schemas.openxmlformats.org/officeDocument/2006/relationships/hyperlink" Target="https://www.zotero.org/google-docs/?vso19R" TargetMode="External"/><Relationship Id="rId263" Type="http://schemas.openxmlformats.org/officeDocument/2006/relationships/hyperlink" Target="https://www.zotero.org/google-docs/?vso19R" TargetMode="External"/><Relationship Id="rId319" Type="http://schemas.openxmlformats.org/officeDocument/2006/relationships/hyperlink" Target="https://www.zotero.org/google-docs/?vso19R" TargetMode="External"/><Relationship Id="rId58" Type="http://schemas.openxmlformats.org/officeDocument/2006/relationships/hyperlink" Target="https://www.zotero.org/google-docs/?9PVCcy" TargetMode="External"/><Relationship Id="rId123" Type="http://schemas.openxmlformats.org/officeDocument/2006/relationships/hyperlink" Target="https://www.zotero.org/google-docs/?vso19R" TargetMode="External"/><Relationship Id="rId330" Type="http://schemas.openxmlformats.org/officeDocument/2006/relationships/hyperlink" Target="https://www.zotero.org/google-docs/?vso19R" TargetMode="External"/><Relationship Id="rId165" Type="http://schemas.openxmlformats.org/officeDocument/2006/relationships/hyperlink" Target="https://www.zotero.org/google-docs/?vso19R" TargetMode="External"/><Relationship Id="rId372" Type="http://schemas.openxmlformats.org/officeDocument/2006/relationships/hyperlink" Target="https://www.zotero.org/google-docs/?vso19R" TargetMode="External"/><Relationship Id="rId211" Type="http://schemas.openxmlformats.org/officeDocument/2006/relationships/hyperlink" Target="https://www.zotero.org/google-docs/?vso19R" TargetMode="External"/><Relationship Id="rId232" Type="http://schemas.openxmlformats.org/officeDocument/2006/relationships/hyperlink" Target="https://www.zotero.org/google-docs/?vso19R" TargetMode="External"/><Relationship Id="rId253" Type="http://schemas.openxmlformats.org/officeDocument/2006/relationships/hyperlink" Target="https://www.zotero.org/google-docs/?vso19R" TargetMode="External"/><Relationship Id="rId274" Type="http://schemas.openxmlformats.org/officeDocument/2006/relationships/hyperlink" Target="https://www.zotero.org/google-docs/?vso19R" TargetMode="External"/><Relationship Id="rId295" Type="http://schemas.openxmlformats.org/officeDocument/2006/relationships/hyperlink" Target="https://www.zotero.org/google-docs/?vso19R" TargetMode="External"/><Relationship Id="rId309" Type="http://schemas.openxmlformats.org/officeDocument/2006/relationships/hyperlink" Target="https://www.zotero.org/google-docs/?vso19R" TargetMode="External"/><Relationship Id="rId27" Type="http://schemas.openxmlformats.org/officeDocument/2006/relationships/hyperlink" Target="https://www.zotero.org/google-docs/?TALeqw" TargetMode="External"/><Relationship Id="rId48" Type="http://schemas.openxmlformats.org/officeDocument/2006/relationships/hyperlink" Target="https://www.zotero.org/google-docs/?nF2frf" TargetMode="External"/><Relationship Id="rId69" Type="http://schemas.openxmlformats.org/officeDocument/2006/relationships/hyperlink" Target="https://www.zotero.org/google-docs/?upw0lW" TargetMode="External"/><Relationship Id="rId113" Type="http://schemas.openxmlformats.org/officeDocument/2006/relationships/hyperlink" Target="https://www.zotero.org/google-docs/?vso19R" TargetMode="External"/><Relationship Id="rId134" Type="http://schemas.openxmlformats.org/officeDocument/2006/relationships/hyperlink" Target="https://www.zotero.org/google-docs/?vso19R" TargetMode="External"/><Relationship Id="rId320" Type="http://schemas.openxmlformats.org/officeDocument/2006/relationships/hyperlink" Target="https://www.zotero.org/google-docs/?vso19R" TargetMode="External"/><Relationship Id="rId80" Type="http://schemas.openxmlformats.org/officeDocument/2006/relationships/hyperlink" Target="https://www.zotero.org/google-docs/?8j8b4Z" TargetMode="External"/><Relationship Id="rId155" Type="http://schemas.openxmlformats.org/officeDocument/2006/relationships/hyperlink" Target="https://www.zotero.org/google-docs/?vso19R" TargetMode="External"/><Relationship Id="rId176" Type="http://schemas.openxmlformats.org/officeDocument/2006/relationships/hyperlink" Target="https://www.zotero.org/google-docs/?vso19R" TargetMode="External"/><Relationship Id="rId197" Type="http://schemas.openxmlformats.org/officeDocument/2006/relationships/hyperlink" Target="https://www.zotero.org/google-docs/?vso19R" TargetMode="External"/><Relationship Id="rId341" Type="http://schemas.openxmlformats.org/officeDocument/2006/relationships/hyperlink" Target="https://www.zotero.org/google-docs/?vso19R" TargetMode="External"/><Relationship Id="rId362" Type="http://schemas.openxmlformats.org/officeDocument/2006/relationships/hyperlink" Target="https://www.zotero.org/google-docs/?vso19R" TargetMode="External"/><Relationship Id="rId383" Type="http://schemas.openxmlformats.org/officeDocument/2006/relationships/hyperlink" Target="https://www.zotero.org/google-docs/?vso19R" TargetMode="External"/><Relationship Id="rId201" Type="http://schemas.openxmlformats.org/officeDocument/2006/relationships/hyperlink" Target="https://www.zotero.org/google-docs/?vso19R" TargetMode="External"/><Relationship Id="rId222" Type="http://schemas.openxmlformats.org/officeDocument/2006/relationships/hyperlink" Target="https://www.zotero.org/google-docs/?vso19R" TargetMode="External"/><Relationship Id="rId243" Type="http://schemas.openxmlformats.org/officeDocument/2006/relationships/hyperlink" Target="https://www.zotero.org/google-docs/?vso19R" TargetMode="External"/><Relationship Id="rId264" Type="http://schemas.openxmlformats.org/officeDocument/2006/relationships/hyperlink" Target="https://www.zotero.org/google-docs/?vso19R" TargetMode="External"/><Relationship Id="rId285" Type="http://schemas.openxmlformats.org/officeDocument/2006/relationships/hyperlink" Target="https://www.zotero.org/google-docs/?vso19R" TargetMode="External"/><Relationship Id="rId17" Type="http://schemas.openxmlformats.org/officeDocument/2006/relationships/hyperlink" Target="https://www.zotero.org/google-docs/?Q0Pm4G" TargetMode="External"/><Relationship Id="rId38" Type="http://schemas.openxmlformats.org/officeDocument/2006/relationships/hyperlink" Target="https://www.zotero.org/google-docs/?BJH3sG" TargetMode="External"/><Relationship Id="rId59" Type="http://schemas.openxmlformats.org/officeDocument/2006/relationships/hyperlink" Target="https://www.zotero.org/google-docs/?i8kSoh" TargetMode="External"/><Relationship Id="rId103" Type="http://schemas.openxmlformats.org/officeDocument/2006/relationships/hyperlink" Target="https://www.zotero.org/google-docs/?vso19R" TargetMode="External"/><Relationship Id="rId124" Type="http://schemas.openxmlformats.org/officeDocument/2006/relationships/hyperlink" Target="https://www.zotero.org/google-docs/?vso19R" TargetMode="External"/><Relationship Id="rId310" Type="http://schemas.openxmlformats.org/officeDocument/2006/relationships/hyperlink" Target="https://www.zotero.org/google-docs/?vso19R" TargetMode="External"/><Relationship Id="rId70" Type="http://schemas.openxmlformats.org/officeDocument/2006/relationships/hyperlink" Target="https://www.zotero.org/google-docs/?jviaz8" TargetMode="External"/><Relationship Id="rId91" Type="http://schemas.openxmlformats.org/officeDocument/2006/relationships/hyperlink" Target="https://www.zotero.org/google-docs/?vso19R" TargetMode="External"/><Relationship Id="rId145" Type="http://schemas.openxmlformats.org/officeDocument/2006/relationships/hyperlink" Target="https://www.zotero.org/google-docs/?vso19R" TargetMode="External"/><Relationship Id="rId166" Type="http://schemas.openxmlformats.org/officeDocument/2006/relationships/hyperlink" Target="https://www.zotero.org/google-docs/?vso19R" TargetMode="External"/><Relationship Id="rId187" Type="http://schemas.openxmlformats.org/officeDocument/2006/relationships/hyperlink" Target="https://www.zotero.org/google-docs/?vso19R" TargetMode="External"/><Relationship Id="rId331" Type="http://schemas.openxmlformats.org/officeDocument/2006/relationships/hyperlink" Target="https://www.zotero.org/google-docs/?vso19R" TargetMode="External"/><Relationship Id="rId352" Type="http://schemas.openxmlformats.org/officeDocument/2006/relationships/hyperlink" Target="https://www.zotero.org/google-docs/?vso19R" TargetMode="External"/><Relationship Id="rId373" Type="http://schemas.openxmlformats.org/officeDocument/2006/relationships/hyperlink" Target="https://www.zotero.org/google-docs/?vso19R" TargetMode="External"/><Relationship Id="rId394" Type="http://schemas.openxmlformats.org/officeDocument/2006/relationships/hyperlink" Target="https://www.zotero.org/google-docs/?vso19R" TargetMode="External"/><Relationship Id="rId1" Type="http://schemas.openxmlformats.org/officeDocument/2006/relationships/numbering" Target="numbering.xml"/><Relationship Id="rId212" Type="http://schemas.openxmlformats.org/officeDocument/2006/relationships/hyperlink" Target="https://www.zotero.org/google-docs/?vso19R" TargetMode="External"/><Relationship Id="rId233" Type="http://schemas.openxmlformats.org/officeDocument/2006/relationships/hyperlink" Target="https://www.zotero.org/google-docs/?vso19R" TargetMode="External"/><Relationship Id="rId254" Type="http://schemas.openxmlformats.org/officeDocument/2006/relationships/hyperlink" Target="https://www.zotero.org/google-docs/?vso19R" TargetMode="External"/><Relationship Id="rId28" Type="http://schemas.openxmlformats.org/officeDocument/2006/relationships/hyperlink" Target="https://www.zotero.org/google-docs/?xF8FTb" TargetMode="External"/><Relationship Id="rId49" Type="http://schemas.openxmlformats.org/officeDocument/2006/relationships/hyperlink" Target="https://www.zotero.org/google-docs/?oS6s4W" TargetMode="External"/><Relationship Id="rId114" Type="http://schemas.openxmlformats.org/officeDocument/2006/relationships/hyperlink" Target="https://www.zotero.org/google-docs/?vso19R" TargetMode="External"/><Relationship Id="rId275" Type="http://schemas.openxmlformats.org/officeDocument/2006/relationships/hyperlink" Target="https://www.zotero.org/google-docs/?vso19R" TargetMode="External"/><Relationship Id="rId296" Type="http://schemas.openxmlformats.org/officeDocument/2006/relationships/hyperlink" Target="https://www.zotero.org/google-docs/?vso19R" TargetMode="External"/><Relationship Id="rId300" Type="http://schemas.openxmlformats.org/officeDocument/2006/relationships/hyperlink" Target="https://www.zotero.org/google-docs/?vso19R" TargetMode="External"/><Relationship Id="rId60" Type="http://schemas.openxmlformats.org/officeDocument/2006/relationships/hyperlink" Target="https://www.zotero.org/google-docs/?Xqjscw" TargetMode="External"/><Relationship Id="rId81" Type="http://schemas.openxmlformats.org/officeDocument/2006/relationships/hyperlink" Target="https://www.zotero.org/google-docs/?GJZAmY" TargetMode="External"/><Relationship Id="rId135" Type="http://schemas.openxmlformats.org/officeDocument/2006/relationships/hyperlink" Target="https://www.zotero.org/google-docs/?vso19R" TargetMode="External"/><Relationship Id="rId156" Type="http://schemas.openxmlformats.org/officeDocument/2006/relationships/hyperlink" Target="https://www.zotero.org/google-docs/?vso19R" TargetMode="External"/><Relationship Id="rId177" Type="http://schemas.openxmlformats.org/officeDocument/2006/relationships/hyperlink" Target="https://www.zotero.org/google-docs/?vso19R" TargetMode="External"/><Relationship Id="rId198" Type="http://schemas.openxmlformats.org/officeDocument/2006/relationships/hyperlink" Target="https://www.zotero.org/google-docs/?vso19R" TargetMode="External"/><Relationship Id="rId321" Type="http://schemas.openxmlformats.org/officeDocument/2006/relationships/hyperlink" Target="https://www.zotero.org/google-docs/?vso19R" TargetMode="External"/><Relationship Id="rId342" Type="http://schemas.openxmlformats.org/officeDocument/2006/relationships/hyperlink" Target="https://www.zotero.org/google-docs/?vso19R" TargetMode="External"/><Relationship Id="rId363" Type="http://schemas.openxmlformats.org/officeDocument/2006/relationships/hyperlink" Target="https://www.zotero.org/google-docs/?vso19R" TargetMode="External"/><Relationship Id="rId384" Type="http://schemas.openxmlformats.org/officeDocument/2006/relationships/hyperlink" Target="https://www.zotero.org/google-docs/?vso19R" TargetMode="External"/><Relationship Id="rId202" Type="http://schemas.openxmlformats.org/officeDocument/2006/relationships/hyperlink" Target="https://www.zotero.org/google-docs/?vso19R" TargetMode="External"/><Relationship Id="rId223" Type="http://schemas.openxmlformats.org/officeDocument/2006/relationships/hyperlink" Target="https://www.zotero.org/google-docs/?vso19R" TargetMode="External"/><Relationship Id="rId244" Type="http://schemas.openxmlformats.org/officeDocument/2006/relationships/hyperlink" Target="https://www.zotero.org/google-docs/?vso19R" TargetMode="External"/><Relationship Id="rId18" Type="http://schemas.openxmlformats.org/officeDocument/2006/relationships/hyperlink" Target="https://www.zotero.org/google-docs/?UIP9TB" TargetMode="External"/><Relationship Id="rId39" Type="http://schemas.openxmlformats.org/officeDocument/2006/relationships/hyperlink" Target="https://www.zotero.org/google-docs/?j67yF0" TargetMode="External"/><Relationship Id="rId265" Type="http://schemas.openxmlformats.org/officeDocument/2006/relationships/hyperlink" Target="https://www.zotero.org/google-docs/?vso19R" TargetMode="External"/><Relationship Id="rId286" Type="http://schemas.openxmlformats.org/officeDocument/2006/relationships/hyperlink" Target="https://www.zotero.org/google-docs/?vso19R" TargetMode="External"/><Relationship Id="rId50" Type="http://schemas.openxmlformats.org/officeDocument/2006/relationships/hyperlink" Target="https://www.zotero.org/google-docs/?NWDFQi" TargetMode="External"/><Relationship Id="rId104" Type="http://schemas.openxmlformats.org/officeDocument/2006/relationships/hyperlink" Target="https://www.zotero.org/google-docs/?vso19R" TargetMode="External"/><Relationship Id="rId125" Type="http://schemas.openxmlformats.org/officeDocument/2006/relationships/hyperlink" Target="https://www.zotero.org/google-docs/?vso19R" TargetMode="External"/><Relationship Id="rId146" Type="http://schemas.openxmlformats.org/officeDocument/2006/relationships/hyperlink" Target="https://www.zotero.org/google-docs/?vso19R" TargetMode="External"/><Relationship Id="rId167" Type="http://schemas.openxmlformats.org/officeDocument/2006/relationships/hyperlink" Target="https://www.zotero.org/google-docs/?vso19R" TargetMode="External"/><Relationship Id="rId188" Type="http://schemas.openxmlformats.org/officeDocument/2006/relationships/hyperlink" Target="https://www.zotero.org/google-docs/?vso19R" TargetMode="External"/><Relationship Id="rId311" Type="http://schemas.openxmlformats.org/officeDocument/2006/relationships/hyperlink" Target="https://www.zotero.org/google-docs/?vso19R" TargetMode="External"/><Relationship Id="rId332" Type="http://schemas.openxmlformats.org/officeDocument/2006/relationships/hyperlink" Target="https://www.zotero.org/google-docs/?vso19R" TargetMode="External"/><Relationship Id="rId353" Type="http://schemas.openxmlformats.org/officeDocument/2006/relationships/hyperlink" Target="https://www.zotero.org/google-docs/?vso19R" TargetMode="External"/><Relationship Id="rId374" Type="http://schemas.openxmlformats.org/officeDocument/2006/relationships/hyperlink" Target="https://www.zotero.org/google-docs/?vso19R" TargetMode="External"/><Relationship Id="rId395" Type="http://schemas.openxmlformats.org/officeDocument/2006/relationships/hyperlink" Target="https://www.zotero.org/google-docs/?vso19R" TargetMode="External"/><Relationship Id="rId71" Type="http://schemas.openxmlformats.org/officeDocument/2006/relationships/hyperlink" Target="https://www.zotero.org/google-docs/?3AUYkA" TargetMode="External"/><Relationship Id="rId92" Type="http://schemas.openxmlformats.org/officeDocument/2006/relationships/hyperlink" Target="https://www.zotero.org/google-docs/?vso19R" TargetMode="External"/><Relationship Id="rId213" Type="http://schemas.openxmlformats.org/officeDocument/2006/relationships/hyperlink" Target="https://www.zotero.org/google-docs/?vso19R" TargetMode="External"/><Relationship Id="rId234" Type="http://schemas.openxmlformats.org/officeDocument/2006/relationships/hyperlink" Target="https://www.zotero.org/google-docs/?vso19R" TargetMode="External"/><Relationship Id="rId2" Type="http://schemas.openxmlformats.org/officeDocument/2006/relationships/styles" Target="styles.xml"/><Relationship Id="rId29" Type="http://schemas.openxmlformats.org/officeDocument/2006/relationships/hyperlink" Target="https://www.zotero.org/google-docs/?XnOsvX" TargetMode="External"/><Relationship Id="rId255" Type="http://schemas.openxmlformats.org/officeDocument/2006/relationships/hyperlink" Target="https://www.zotero.org/google-docs/?vso19R" TargetMode="External"/><Relationship Id="rId276" Type="http://schemas.openxmlformats.org/officeDocument/2006/relationships/hyperlink" Target="https://www.zotero.org/google-docs/?vso19R" TargetMode="External"/><Relationship Id="rId297" Type="http://schemas.openxmlformats.org/officeDocument/2006/relationships/hyperlink" Target="https://www.zotero.org/google-docs/?vso19R" TargetMode="External"/><Relationship Id="rId40" Type="http://schemas.openxmlformats.org/officeDocument/2006/relationships/hyperlink" Target="https://www.zotero.org/google-docs/?oOravV" TargetMode="External"/><Relationship Id="rId115" Type="http://schemas.openxmlformats.org/officeDocument/2006/relationships/hyperlink" Target="https://www.zotero.org/google-docs/?vso19R" TargetMode="External"/><Relationship Id="rId136" Type="http://schemas.openxmlformats.org/officeDocument/2006/relationships/hyperlink" Target="https://www.zotero.org/google-docs/?vso19R" TargetMode="External"/><Relationship Id="rId157" Type="http://schemas.openxmlformats.org/officeDocument/2006/relationships/hyperlink" Target="https://www.zotero.org/google-docs/?vso19R" TargetMode="External"/><Relationship Id="rId178" Type="http://schemas.openxmlformats.org/officeDocument/2006/relationships/hyperlink" Target="https://www.zotero.org/google-docs/?vso19R" TargetMode="External"/><Relationship Id="rId301" Type="http://schemas.openxmlformats.org/officeDocument/2006/relationships/hyperlink" Target="https://www.zotero.org/google-docs/?vso19R" TargetMode="External"/><Relationship Id="rId322" Type="http://schemas.openxmlformats.org/officeDocument/2006/relationships/hyperlink" Target="https://www.zotero.org/google-docs/?vso19R" TargetMode="External"/><Relationship Id="rId343" Type="http://schemas.openxmlformats.org/officeDocument/2006/relationships/hyperlink" Target="https://www.zotero.org/google-docs/?vso19R" TargetMode="External"/><Relationship Id="rId364" Type="http://schemas.openxmlformats.org/officeDocument/2006/relationships/hyperlink" Target="https://www.zotero.org/google-docs/?vso19R" TargetMode="External"/><Relationship Id="rId61" Type="http://schemas.openxmlformats.org/officeDocument/2006/relationships/hyperlink" Target="https://www.zotero.org/google-docs/?VDa72v" TargetMode="External"/><Relationship Id="rId82" Type="http://schemas.openxmlformats.org/officeDocument/2006/relationships/hyperlink" Target="https://www.zotero.org/google-docs/?vso19R" TargetMode="External"/><Relationship Id="rId199" Type="http://schemas.openxmlformats.org/officeDocument/2006/relationships/hyperlink" Target="https://www.zotero.org/google-docs/?vso19R" TargetMode="External"/><Relationship Id="rId203" Type="http://schemas.openxmlformats.org/officeDocument/2006/relationships/hyperlink" Target="https://www.zotero.org/google-docs/?vso19R" TargetMode="External"/><Relationship Id="rId385" Type="http://schemas.openxmlformats.org/officeDocument/2006/relationships/hyperlink" Target="https://www.zotero.org/google-docs/?vso19R" TargetMode="External"/><Relationship Id="rId19" Type="http://schemas.openxmlformats.org/officeDocument/2006/relationships/hyperlink" Target="https://www.zotero.org/google-docs/?fogrMg" TargetMode="External"/><Relationship Id="rId224" Type="http://schemas.openxmlformats.org/officeDocument/2006/relationships/hyperlink" Target="https://www.zotero.org/google-docs/?vso19R" TargetMode="External"/><Relationship Id="rId245" Type="http://schemas.openxmlformats.org/officeDocument/2006/relationships/hyperlink" Target="https://www.zotero.org/google-docs/?vso19R" TargetMode="External"/><Relationship Id="rId266" Type="http://schemas.openxmlformats.org/officeDocument/2006/relationships/hyperlink" Target="https://www.zotero.org/google-docs/?vso19R" TargetMode="External"/><Relationship Id="rId287" Type="http://schemas.openxmlformats.org/officeDocument/2006/relationships/hyperlink" Target="https://www.zotero.org/google-docs/?vso19R" TargetMode="External"/><Relationship Id="rId30" Type="http://schemas.openxmlformats.org/officeDocument/2006/relationships/hyperlink" Target="https://www.zotero.org/google-docs/?tUmaAU" TargetMode="External"/><Relationship Id="rId105" Type="http://schemas.openxmlformats.org/officeDocument/2006/relationships/hyperlink" Target="https://www.zotero.org/google-docs/?vso19R" TargetMode="External"/><Relationship Id="rId126" Type="http://schemas.openxmlformats.org/officeDocument/2006/relationships/hyperlink" Target="https://www.zotero.org/google-docs/?vso19R" TargetMode="External"/><Relationship Id="rId147" Type="http://schemas.openxmlformats.org/officeDocument/2006/relationships/hyperlink" Target="https://www.zotero.org/google-docs/?vso19R" TargetMode="External"/><Relationship Id="rId168" Type="http://schemas.openxmlformats.org/officeDocument/2006/relationships/hyperlink" Target="https://www.zotero.org/google-docs/?vso19R" TargetMode="External"/><Relationship Id="rId312" Type="http://schemas.openxmlformats.org/officeDocument/2006/relationships/hyperlink" Target="https://www.zotero.org/google-docs/?vso19R" TargetMode="External"/><Relationship Id="rId333" Type="http://schemas.openxmlformats.org/officeDocument/2006/relationships/hyperlink" Target="https://www.zotero.org/google-docs/?vso19R" TargetMode="External"/><Relationship Id="rId354" Type="http://schemas.openxmlformats.org/officeDocument/2006/relationships/hyperlink" Target="https://www.zotero.org/google-docs/?vso19R" TargetMode="External"/><Relationship Id="rId51" Type="http://schemas.openxmlformats.org/officeDocument/2006/relationships/hyperlink" Target="https://www.zotero.org/google-docs/?EsaR8K" TargetMode="External"/><Relationship Id="rId72" Type="http://schemas.openxmlformats.org/officeDocument/2006/relationships/hyperlink" Target="https://www.zotero.org/google-docs/?V9Orlp" TargetMode="External"/><Relationship Id="rId93" Type="http://schemas.openxmlformats.org/officeDocument/2006/relationships/hyperlink" Target="https://www.zotero.org/google-docs/?vso19R" TargetMode="External"/><Relationship Id="rId189" Type="http://schemas.openxmlformats.org/officeDocument/2006/relationships/hyperlink" Target="https://www.zotero.org/google-docs/?vso19R" TargetMode="External"/><Relationship Id="rId375" Type="http://schemas.openxmlformats.org/officeDocument/2006/relationships/hyperlink" Target="https://www.zotero.org/google-docs/?vso19R" TargetMode="External"/><Relationship Id="rId396" Type="http://schemas.openxmlformats.org/officeDocument/2006/relationships/hyperlink" Target="https://www.zotero.org/google-docs/?vso19R" TargetMode="External"/><Relationship Id="rId3" Type="http://schemas.openxmlformats.org/officeDocument/2006/relationships/settings" Target="settings.xml"/><Relationship Id="rId214" Type="http://schemas.openxmlformats.org/officeDocument/2006/relationships/hyperlink" Target="https://www.zotero.org/google-docs/?vso19R" TargetMode="External"/><Relationship Id="rId235" Type="http://schemas.openxmlformats.org/officeDocument/2006/relationships/hyperlink" Target="https://www.zotero.org/google-docs/?vso19R" TargetMode="External"/><Relationship Id="rId256" Type="http://schemas.openxmlformats.org/officeDocument/2006/relationships/hyperlink" Target="https://www.zotero.org/google-docs/?vso19R" TargetMode="External"/><Relationship Id="rId277" Type="http://schemas.openxmlformats.org/officeDocument/2006/relationships/hyperlink" Target="https://www.zotero.org/google-docs/?vso19R" TargetMode="External"/><Relationship Id="rId298" Type="http://schemas.openxmlformats.org/officeDocument/2006/relationships/hyperlink" Target="https://www.zotero.org/google-docs/?vso19R" TargetMode="External"/><Relationship Id="rId400" Type="http://schemas.openxmlformats.org/officeDocument/2006/relationships/hyperlink" Target="https://www.zotero.org/google-docs/?vso19R" TargetMode="External"/><Relationship Id="rId116" Type="http://schemas.openxmlformats.org/officeDocument/2006/relationships/hyperlink" Target="https://www.zotero.org/google-docs/?vso19R" TargetMode="External"/><Relationship Id="rId137" Type="http://schemas.openxmlformats.org/officeDocument/2006/relationships/hyperlink" Target="https://www.zotero.org/google-docs/?vso19R" TargetMode="External"/><Relationship Id="rId158" Type="http://schemas.openxmlformats.org/officeDocument/2006/relationships/hyperlink" Target="https://www.zotero.org/google-docs/?vso19R" TargetMode="External"/><Relationship Id="rId302" Type="http://schemas.openxmlformats.org/officeDocument/2006/relationships/hyperlink" Target="https://www.zotero.org/google-docs/?vso19R" TargetMode="External"/><Relationship Id="rId323" Type="http://schemas.openxmlformats.org/officeDocument/2006/relationships/hyperlink" Target="https://www.zotero.org/google-docs/?vso19R" TargetMode="External"/><Relationship Id="rId344" Type="http://schemas.openxmlformats.org/officeDocument/2006/relationships/hyperlink" Target="https://www.zotero.org/google-docs/?vso19R" TargetMode="External"/><Relationship Id="rId20" Type="http://schemas.openxmlformats.org/officeDocument/2006/relationships/hyperlink" Target="https://www.zotero.org/google-docs/?6DDp1u" TargetMode="External"/><Relationship Id="rId41" Type="http://schemas.openxmlformats.org/officeDocument/2006/relationships/hyperlink" Target="https://www.zotero.org/google-docs/?oOravV" TargetMode="External"/><Relationship Id="rId62" Type="http://schemas.openxmlformats.org/officeDocument/2006/relationships/hyperlink" Target="https://www.zotero.org/google-docs/?8ssp58" TargetMode="External"/><Relationship Id="rId83" Type="http://schemas.openxmlformats.org/officeDocument/2006/relationships/hyperlink" Target="https://www.zotero.org/google-docs/?vso19R" TargetMode="External"/><Relationship Id="rId179" Type="http://schemas.openxmlformats.org/officeDocument/2006/relationships/hyperlink" Target="https://www.zotero.org/google-docs/?vso19R" TargetMode="External"/><Relationship Id="rId365" Type="http://schemas.openxmlformats.org/officeDocument/2006/relationships/hyperlink" Target="https://www.zotero.org/google-docs/?vso19R" TargetMode="External"/><Relationship Id="rId386" Type="http://schemas.openxmlformats.org/officeDocument/2006/relationships/hyperlink" Target="https://www.zotero.org/google-docs/?vso19R" TargetMode="External"/><Relationship Id="rId190" Type="http://schemas.openxmlformats.org/officeDocument/2006/relationships/hyperlink" Target="https://www.zotero.org/google-docs/?vso19R" TargetMode="External"/><Relationship Id="rId204" Type="http://schemas.openxmlformats.org/officeDocument/2006/relationships/hyperlink" Target="https://www.zotero.org/google-docs/?vso19R" TargetMode="External"/><Relationship Id="rId225" Type="http://schemas.openxmlformats.org/officeDocument/2006/relationships/hyperlink" Target="https://www.zotero.org/google-docs/?vso19R" TargetMode="External"/><Relationship Id="rId246" Type="http://schemas.openxmlformats.org/officeDocument/2006/relationships/hyperlink" Target="https://www.zotero.org/google-docs/?vso19R" TargetMode="External"/><Relationship Id="rId267" Type="http://schemas.openxmlformats.org/officeDocument/2006/relationships/hyperlink" Target="https://www.zotero.org/google-docs/?vso19R" TargetMode="External"/><Relationship Id="rId288" Type="http://schemas.openxmlformats.org/officeDocument/2006/relationships/hyperlink" Target="https://www.zotero.org/google-docs/?vso19R" TargetMode="External"/><Relationship Id="rId106" Type="http://schemas.openxmlformats.org/officeDocument/2006/relationships/hyperlink" Target="https://www.zotero.org/google-docs/?vso19R" TargetMode="External"/><Relationship Id="rId127" Type="http://schemas.openxmlformats.org/officeDocument/2006/relationships/hyperlink" Target="https://www.zotero.org/google-docs/?vso19R" TargetMode="External"/><Relationship Id="rId313" Type="http://schemas.openxmlformats.org/officeDocument/2006/relationships/hyperlink" Target="https://www.zotero.org/google-docs/?vso19R" TargetMode="External"/><Relationship Id="rId10" Type="http://schemas.openxmlformats.org/officeDocument/2006/relationships/hyperlink" Target="https://www.zotero.org/google-docs/?E7KC1Y" TargetMode="External"/><Relationship Id="rId31" Type="http://schemas.openxmlformats.org/officeDocument/2006/relationships/hyperlink" Target="https://www.zotero.org/google-docs/?X7A3Ds" TargetMode="External"/><Relationship Id="rId52" Type="http://schemas.openxmlformats.org/officeDocument/2006/relationships/hyperlink" Target="https://www.zotero.org/google-docs/?RYbxYY" TargetMode="External"/><Relationship Id="rId73" Type="http://schemas.openxmlformats.org/officeDocument/2006/relationships/hyperlink" Target="https://www.zotero.org/google-docs/?XfU8Ew" TargetMode="External"/><Relationship Id="rId94" Type="http://schemas.openxmlformats.org/officeDocument/2006/relationships/hyperlink" Target="https://www.zotero.org/google-docs/?vso19R" TargetMode="External"/><Relationship Id="rId148" Type="http://schemas.openxmlformats.org/officeDocument/2006/relationships/hyperlink" Target="https://www.zotero.org/google-docs/?vso19R" TargetMode="External"/><Relationship Id="rId169" Type="http://schemas.openxmlformats.org/officeDocument/2006/relationships/hyperlink" Target="https://www.zotero.org/google-docs/?vso19R" TargetMode="External"/><Relationship Id="rId334" Type="http://schemas.openxmlformats.org/officeDocument/2006/relationships/hyperlink" Target="https://www.zotero.org/google-docs/?vso19R" TargetMode="External"/><Relationship Id="rId355" Type="http://schemas.openxmlformats.org/officeDocument/2006/relationships/hyperlink" Target="https://www.zotero.org/google-docs/?vso19R" TargetMode="External"/><Relationship Id="rId376" Type="http://schemas.openxmlformats.org/officeDocument/2006/relationships/hyperlink" Target="https://www.zotero.org/google-docs/?vso19R" TargetMode="External"/><Relationship Id="rId397" Type="http://schemas.openxmlformats.org/officeDocument/2006/relationships/hyperlink" Target="https://www.zotero.org/google-docs/?vso19R" TargetMode="External"/><Relationship Id="rId4" Type="http://schemas.openxmlformats.org/officeDocument/2006/relationships/webSettings" Target="webSettings.xml"/><Relationship Id="rId180" Type="http://schemas.openxmlformats.org/officeDocument/2006/relationships/hyperlink" Target="https://www.zotero.org/google-docs/?vso19R" TargetMode="External"/><Relationship Id="rId215" Type="http://schemas.openxmlformats.org/officeDocument/2006/relationships/hyperlink" Target="https://www.zotero.org/google-docs/?vso19R" TargetMode="External"/><Relationship Id="rId236" Type="http://schemas.openxmlformats.org/officeDocument/2006/relationships/hyperlink" Target="https://www.zotero.org/google-docs/?vso19R" TargetMode="External"/><Relationship Id="rId257" Type="http://schemas.openxmlformats.org/officeDocument/2006/relationships/hyperlink" Target="https://www.zotero.org/google-docs/?vso19R" TargetMode="External"/><Relationship Id="rId278" Type="http://schemas.openxmlformats.org/officeDocument/2006/relationships/hyperlink" Target="https://www.zotero.org/google-docs/?vso19R" TargetMode="External"/><Relationship Id="rId401" Type="http://schemas.openxmlformats.org/officeDocument/2006/relationships/hyperlink" Target="https://www.zotero.org/google-docs/?vso19R" TargetMode="External"/><Relationship Id="rId303" Type="http://schemas.openxmlformats.org/officeDocument/2006/relationships/hyperlink" Target="https://www.zotero.org/google-docs/?vso19R" TargetMode="External"/><Relationship Id="rId42" Type="http://schemas.openxmlformats.org/officeDocument/2006/relationships/hyperlink" Target="https://www.zotero.org/google-docs/?oOravV" TargetMode="External"/><Relationship Id="rId84" Type="http://schemas.openxmlformats.org/officeDocument/2006/relationships/hyperlink" Target="https://www.zotero.org/google-docs/?vso19R" TargetMode="External"/><Relationship Id="rId138" Type="http://schemas.openxmlformats.org/officeDocument/2006/relationships/hyperlink" Target="https://www.zotero.org/google-docs/?vso19R" TargetMode="External"/><Relationship Id="rId345" Type="http://schemas.openxmlformats.org/officeDocument/2006/relationships/hyperlink" Target="https://www.zotero.org/google-docs/?vso19R" TargetMode="External"/><Relationship Id="rId387" Type="http://schemas.openxmlformats.org/officeDocument/2006/relationships/hyperlink" Target="https://www.zotero.org/google-docs/?vso19R" TargetMode="External"/><Relationship Id="rId191" Type="http://schemas.openxmlformats.org/officeDocument/2006/relationships/hyperlink" Target="https://www.zotero.org/google-docs/?vso19R" TargetMode="External"/><Relationship Id="rId205" Type="http://schemas.openxmlformats.org/officeDocument/2006/relationships/hyperlink" Target="https://www.zotero.org/google-docs/?vso19R" TargetMode="External"/><Relationship Id="rId247" Type="http://schemas.openxmlformats.org/officeDocument/2006/relationships/hyperlink" Target="https://www.zotero.org/google-docs/?vso19R" TargetMode="External"/><Relationship Id="rId107" Type="http://schemas.openxmlformats.org/officeDocument/2006/relationships/hyperlink" Target="https://www.zotero.org/google-docs/?vso19R" TargetMode="External"/><Relationship Id="rId289" Type="http://schemas.openxmlformats.org/officeDocument/2006/relationships/hyperlink" Target="https://www.zotero.org/google-docs/?vso19R" TargetMode="External"/><Relationship Id="rId11" Type="http://schemas.openxmlformats.org/officeDocument/2006/relationships/hyperlink" Target="https://www.zotero.org/google-docs/?FxuJ16" TargetMode="External"/><Relationship Id="rId53" Type="http://schemas.openxmlformats.org/officeDocument/2006/relationships/hyperlink" Target="https://www.zotero.org/google-docs/?y9HuAn" TargetMode="External"/><Relationship Id="rId149" Type="http://schemas.openxmlformats.org/officeDocument/2006/relationships/hyperlink" Target="https://www.zotero.org/google-docs/?vso19R" TargetMode="External"/><Relationship Id="rId314" Type="http://schemas.openxmlformats.org/officeDocument/2006/relationships/hyperlink" Target="https://www.zotero.org/google-docs/?vso19R" TargetMode="External"/><Relationship Id="rId356" Type="http://schemas.openxmlformats.org/officeDocument/2006/relationships/hyperlink" Target="https://www.zotero.org/google-docs/?vso19R" TargetMode="External"/><Relationship Id="rId398" Type="http://schemas.openxmlformats.org/officeDocument/2006/relationships/hyperlink" Target="https://www.zotero.org/google-docs/?vso19R" TargetMode="External"/><Relationship Id="rId95" Type="http://schemas.openxmlformats.org/officeDocument/2006/relationships/hyperlink" Target="https://www.zotero.org/google-docs/?vso19R" TargetMode="External"/><Relationship Id="rId160" Type="http://schemas.openxmlformats.org/officeDocument/2006/relationships/hyperlink" Target="https://www.zotero.org/google-docs/?vso19R" TargetMode="External"/><Relationship Id="rId216" Type="http://schemas.openxmlformats.org/officeDocument/2006/relationships/hyperlink" Target="https://www.zotero.org/google-docs/?vso19R" TargetMode="External"/><Relationship Id="rId258" Type="http://schemas.openxmlformats.org/officeDocument/2006/relationships/hyperlink" Target="https://www.zotero.org/google-docs/?vso19R" TargetMode="External"/><Relationship Id="rId22" Type="http://schemas.openxmlformats.org/officeDocument/2006/relationships/hyperlink" Target="https://www.zotero.org/google-docs/?Yi4o2x" TargetMode="External"/><Relationship Id="rId64" Type="http://schemas.openxmlformats.org/officeDocument/2006/relationships/image" Target="media/image1.png"/><Relationship Id="rId118" Type="http://schemas.openxmlformats.org/officeDocument/2006/relationships/hyperlink" Target="https://www.zotero.org/google-docs/?vso19R" TargetMode="External"/><Relationship Id="rId325" Type="http://schemas.openxmlformats.org/officeDocument/2006/relationships/hyperlink" Target="https://www.zotero.org/google-docs/?vso19R" TargetMode="External"/><Relationship Id="rId367" Type="http://schemas.openxmlformats.org/officeDocument/2006/relationships/hyperlink" Target="https://www.zotero.org/google-docs/?vso19R" TargetMode="External"/><Relationship Id="rId171" Type="http://schemas.openxmlformats.org/officeDocument/2006/relationships/hyperlink" Target="https://www.zotero.org/google-docs/?vso19R" TargetMode="External"/><Relationship Id="rId227" Type="http://schemas.openxmlformats.org/officeDocument/2006/relationships/hyperlink" Target="https://www.zotero.org/google-docs/?vso19R" TargetMode="External"/><Relationship Id="rId269" Type="http://schemas.openxmlformats.org/officeDocument/2006/relationships/hyperlink" Target="https://www.zotero.org/google-docs/?vso19R" TargetMode="External"/><Relationship Id="rId33" Type="http://schemas.openxmlformats.org/officeDocument/2006/relationships/hyperlink" Target="https://www.zotero.org/google-docs/?Y0mh18" TargetMode="External"/><Relationship Id="rId129" Type="http://schemas.openxmlformats.org/officeDocument/2006/relationships/hyperlink" Target="https://www.zotero.org/google-docs/?vso19R" TargetMode="External"/><Relationship Id="rId280" Type="http://schemas.openxmlformats.org/officeDocument/2006/relationships/hyperlink" Target="https://www.zotero.org/google-docs/?vso19R" TargetMode="External"/><Relationship Id="rId336" Type="http://schemas.openxmlformats.org/officeDocument/2006/relationships/hyperlink" Target="https://www.zotero.org/google-docs/?vso19R" TargetMode="External"/><Relationship Id="rId75" Type="http://schemas.openxmlformats.org/officeDocument/2006/relationships/hyperlink" Target="https://www.zotero.org/google-docs/?mL5A2l" TargetMode="External"/><Relationship Id="rId140" Type="http://schemas.openxmlformats.org/officeDocument/2006/relationships/hyperlink" Target="https://www.zotero.org/google-docs/?vso19R" TargetMode="External"/><Relationship Id="rId182" Type="http://schemas.openxmlformats.org/officeDocument/2006/relationships/hyperlink" Target="https://www.zotero.org/google-docs/?vso19R" TargetMode="External"/><Relationship Id="rId378" Type="http://schemas.openxmlformats.org/officeDocument/2006/relationships/hyperlink" Target="https://www.zotero.org/google-docs/?vso19R" TargetMode="External"/><Relationship Id="rId403" Type="http://schemas.openxmlformats.org/officeDocument/2006/relationships/footer" Target="footer1.xml"/><Relationship Id="rId6" Type="http://schemas.openxmlformats.org/officeDocument/2006/relationships/endnotes" Target="endnotes.xml"/><Relationship Id="rId238" Type="http://schemas.openxmlformats.org/officeDocument/2006/relationships/hyperlink" Target="https://www.zotero.org/google-docs/?vso19R" TargetMode="External"/><Relationship Id="rId291" Type="http://schemas.openxmlformats.org/officeDocument/2006/relationships/hyperlink" Target="https://www.zotero.org/google-docs/?vso19R" TargetMode="External"/><Relationship Id="rId305" Type="http://schemas.openxmlformats.org/officeDocument/2006/relationships/hyperlink" Target="https://www.zotero.org/google-docs/?vso19R" TargetMode="External"/><Relationship Id="rId347" Type="http://schemas.openxmlformats.org/officeDocument/2006/relationships/hyperlink" Target="https://www.zotero.org/google-docs/?vso19R" TargetMode="External"/><Relationship Id="rId44" Type="http://schemas.openxmlformats.org/officeDocument/2006/relationships/hyperlink" Target="https://www.zotero.org/google-docs/?zjBe8D" TargetMode="External"/><Relationship Id="rId86" Type="http://schemas.openxmlformats.org/officeDocument/2006/relationships/hyperlink" Target="https://www.zotero.org/google-docs/?vso19R" TargetMode="External"/><Relationship Id="rId151" Type="http://schemas.openxmlformats.org/officeDocument/2006/relationships/hyperlink" Target="https://www.zotero.org/google-docs/?vso19R" TargetMode="External"/><Relationship Id="rId389" Type="http://schemas.openxmlformats.org/officeDocument/2006/relationships/hyperlink" Target="https://www.zotero.org/google-docs/?vso19R" TargetMode="External"/><Relationship Id="rId193" Type="http://schemas.openxmlformats.org/officeDocument/2006/relationships/hyperlink" Target="https://www.zotero.org/google-docs/?vso19R" TargetMode="External"/><Relationship Id="rId207" Type="http://schemas.openxmlformats.org/officeDocument/2006/relationships/hyperlink" Target="https://www.zotero.org/google-docs/?vso19R" TargetMode="External"/><Relationship Id="rId249" Type="http://schemas.openxmlformats.org/officeDocument/2006/relationships/hyperlink" Target="https://www.zotero.org/google-docs/?vso19R" TargetMode="External"/><Relationship Id="rId13" Type="http://schemas.openxmlformats.org/officeDocument/2006/relationships/hyperlink" Target="https://www.zotero.org/google-docs/?5v9Dxc" TargetMode="External"/><Relationship Id="rId109" Type="http://schemas.openxmlformats.org/officeDocument/2006/relationships/hyperlink" Target="https://www.zotero.org/google-docs/?vso19R" TargetMode="External"/><Relationship Id="rId260" Type="http://schemas.openxmlformats.org/officeDocument/2006/relationships/hyperlink" Target="https://www.zotero.org/google-docs/?vso19R" TargetMode="External"/><Relationship Id="rId316" Type="http://schemas.openxmlformats.org/officeDocument/2006/relationships/hyperlink" Target="https://www.zotero.org/google-docs/?vso19R" TargetMode="External"/><Relationship Id="rId55" Type="http://schemas.openxmlformats.org/officeDocument/2006/relationships/hyperlink" Target="https://www.zotero.org/google-docs/?cmCbj3" TargetMode="External"/><Relationship Id="rId97" Type="http://schemas.openxmlformats.org/officeDocument/2006/relationships/hyperlink" Target="https://www.zotero.org/google-docs/?vso19R" TargetMode="External"/><Relationship Id="rId120" Type="http://schemas.openxmlformats.org/officeDocument/2006/relationships/hyperlink" Target="https://www.zotero.org/google-docs/?vso19R" TargetMode="External"/><Relationship Id="rId358" Type="http://schemas.openxmlformats.org/officeDocument/2006/relationships/hyperlink" Target="https://www.zotero.org/google-docs/?vso19R" TargetMode="External"/><Relationship Id="rId162" Type="http://schemas.openxmlformats.org/officeDocument/2006/relationships/hyperlink" Target="https://www.zotero.org/google-docs/?vso19R" TargetMode="External"/><Relationship Id="rId218" Type="http://schemas.openxmlformats.org/officeDocument/2006/relationships/hyperlink" Target="https://www.zotero.org/google-docs/?vso19R" TargetMode="External"/><Relationship Id="rId271" Type="http://schemas.openxmlformats.org/officeDocument/2006/relationships/hyperlink" Target="https://www.zotero.org/google-docs/?vso19R" TargetMode="External"/><Relationship Id="rId24" Type="http://schemas.openxmlformats.org/officeDocument/2006/relationships/hyperlink" Target="https://www.zotero.org/google-docs/?LpIuFb" TargetMode="External"/><Relationship Id="rId66" Type="http://schemas.openxmlformats.org/officeDocument/2006/relationships/image" Target="media/image3.png"/><Relationship Id="rId131" Type="http://schemas.openxmlformats.org/officeDocument/2006/relationships/hyperlink" Target="https://www.zotero.org/google-docs/?vso19R" TargetMode="External"/><Relationship Id="rId327" Type="http://schemas.openxmlformats.org/officeDocument/2006/relationships/hyperlink" Target="https://www.zotero.org/google-docs/?vso19R" TargetMode="External"/><Relationship Id="rId369" Type="http://schemas.openxmlformats.org/officeDocument/2006/relationships/hyperlink" Target="https://www.zotero.org/google-docs/?vso19R" TargetMode="External"/><Relationship Id="rId173" Type="http://schemas.openxmlformats.org/officeDocument/2006/relationships/hyperlink" Target="https://www.zotero.org/google-docs/?vso19R" TargetMode="External"/><Relationship Id="rId229" Type="http://schemas.openxmlformats.org/officeDocument/2006/relationships/hyperlink" Target="https://www.zotero.org/google-docs/?vso19R" TargetMode="External"/><Relationship Id="rId380" Type="http://schemas.openxmlformats.org/officeDocument/2006/relationships/hyperlink" Target="https://www.zotero.org/google-docs/?vso19R" TargetMode="External"/><Relationship Id="rId240" Type="http://schemas.openxmlformats.org/officeDocument/2006/relationships/hyperlink" Target="https://www.zotero.org/google-docs/?vso19R" TargetMode="External"/><Relationship Id="rId35" Type="http://schemas.openxmlformats.org/officeDocument/2006/relationships/hyperlink" Target="https://www.zotero.org/google-docs/?uiTxMD" TargetMode="External"/><Relationship Id="rId77" Type="http://schemas.openxmlformats.org/officeDocument/2006/relationships/hyperlink" Target="https://www.zotero.org/google-docs/?7HbHo0" TargetMode="External"/><Relationship Id="rId100" Type="http://schemas.openxmlformats.org/officeDocument/2006/relationships/hyperlink" Target="https://www.zotero.org/google-docs/?vso19R" TargetMode="External"/><Relationship Id="rId282" Type="http://schemas.openxmlformats.org/officeDocument/2006/relationships/hyperlink" Target="https://www.zotero.org/google-docs/?vso19R" TargetMode="External"/><Relationship Id="rId338" Type="http://schemas.openxmlformats.org/officeDocument/2006/relationships/hyperlink" Target="https://www.zotero.org/google-docs/?vso19R" TargetMode="External"/><Relationship Id="rId8" Type="http://schemas.openxmlformats.org/officeDocument/2006/relationships/hyperlink" Target="https://www.zotero.org/google-docs/?jv6umO" TargetMode="External"/><Relationship Id="rId142" Type="http://schemas.openxmlformats.org/officeDocument/2006/relationships/hyperlink" Target="https://www.zotero.org/google-docs/?vso19R" TargetMode="External"/><Relationship Id="rId184" Type="http://schemas.openxmlformats.org/officeDocument/2006/relationships/hyperlink" Target="https://www.zotero.org/google-docs/?vso19R" TargetMode="External"/><Relationship Id="rId391" Type="http://schemas.openxmlformats.org/officeDocument/2006/relationships/hyperlink" Target="https://www.zotero.org/google-docs/?vso19R" TargetMode="External"/><Relationship Id="rId405" Type="http://schemas.openxmlformats.org/officeDocument/2006/relationships/theme" Target="theme/theme1.xml"/><Relationship Id="rId251" Type="http://schemas.openxmlformats.org/officeDocument/2006/relationships/hyperlink" Target="https://www.zotero.org/google-docs/?vso19R" TargetMode="External"/><Relationship Id="rId46" Type="http://schemas.openxmlformats.org/officeDocument/2006/relationships/hyperlink" Target="https://www.zotero.org/google-docs/?zIO1yi" TargetMode="External"/><Relationship Id="rId293" Type="http://schemas.openxmlformats.org/officeDocument/2006/relationships/hyperlink" Target="https://www.zotero.org/google-docs/?vso19R" TargetMode="External"/><Relationship Id="rId307" Type="http://schemas.openxmlformats.org/officeDocument/2006/relationships/hyperlink" Target="https://www.zotero.org/google-docs/?vso19R" TargetMode="External"/><Relationship Id="rId349" Type="http://schemas.openxmlformats.org/officeDocument/2006/relationships/hyperlink" Target="https://www.zotero.org/google-docs/?vso19R" TargetMode="External"/><Relationship Id="rId88" Type="http://schemas.openxmlformats.org/officeDocument/2006/relationships/hyperlink" Target="https://www.zotero.org/google-docs/?vso19R" TargetMode="External"/><Relationship Id="rId111" Type="http://schemas.openxmlformats.org/officeDocument/2006/relationships/hyperlink" Target="https://www.zotero.org/google-docs/?vso19R" TargetMode="External"/><Relationship Id="rId153" Type="http://schemas.openxmlformats.org/officeDocument/2006/relationships/hyperlink" Target="https://www.zotero.org/google-docs/?vso19R" TargetMode="External"/><Relationship Id="rId195" Type="http://schemas.openxmlformats.org/officeDocument/2006/relationships/hyperlink" Target="https://www.zotero.org/google-docs/?vso19R" TargetMode="External"/><Relationship Id="rId209" Type="http://schemas.openxmlformats.org/officeDocument/2006/relationships/hyperlink" Target="https://www.zotero.org/google-docs/?vso19R" TargetMode="External"/><Relationship Id="rId360" Type="http://schemas.openxmlformats.org/officeDocument/2006/relationships/hyperlink" Target="https://www.zotero.org/google-docs/?vso19R" TargetMode="External"/><Relationship Id="rId220" Type="http://schemas.openxmlformats.org/officeDocument/2006/relationships/hyperlink" Target="https://www.zotero.org/google-docs/?vso19R" TargetMode="External"/><Relationship Id="rId15" Type="http://schemas.openxmlformats.org/officeDocument/2006/relationships/hyperlink" Target="https://www.zotero.org/google-docs/?roKSJf" TargetMode="External"/><Relationship Id="rId57" Type="http://schemas.openxmlformats.org/officeDocument/2006/relationships/hyperlink" Target="https://www.zotero.org/google-docs/?mDqWiI" TargetMode="External"/><Relationship Id="rId262" Type="http://schemas.openxmlformats.org/officeDocument/2006/relationships/hyperlink" Target="https://www.zotero.org/google-docs/?vso19R" TargetMode="External"/><Relationship Id="rId318" Type="http://schemas.openxmlformats.org/officeDocument/2006/relationships/hyperlink" Target="https://www.zotero.org/google-docs/?vso19R" TargetMode="External"/><Relationship Id="rId99" Type="http://schemas.openxmlformats.org/officeDocument/2006/relationships/hyperlink" Target="https://www.zotero.org/google-docs/?vso19R" TargetMode="External"/><Relationship Id="rId122" Type="http://schemas.openxmlformats.org/officeDocument/2006/relationships/hyperlink" Target="https://www.zotero.org/google-docs/?vso19R" TargetMode="External"/><Relationship Id="rId164" Type="http://schemas.openxmlformats.org/officeDocument/2006/relationships/hyperlink" Target="https://www.zotero.org/google-docs/?vso19R" TargetMode="External"/><Relationship Id="rId371" Type="http://schemas.openxmlformats.org/officeDocument/2006/relationships/hyperlink" Target="https://www.zotero.org/google-docs/?vso19R" TargetMode="External"/><Relationship Id="rId26" Type="http://schemas.openxmlformats.org/officeDocument/2006/relationships/hyperlink" Target="https://www.zotero.org/google-docs/?qYO5kT" TargetMode="External"/><Relationship Id="rId231" Type="http://schemas.openxmlformats.org/officeDocument/2006/relationships/hyperlink" Target="https://www.zotero.org/google-docs/?vso19R" TargetMode="External"/><Relationship Id="rId273" Type="http://schemas.openxmlformats.org/officeDocument/2006/relationships/hyperlink" Target="https://www.zotero.org/google-docs/?vso19R" TargetMode="External"/><Relationship Id="rId329" Type="http://schemas.openxmlformats.org/officeDocument/2006/relationships/hyperlink" Target="https://www.zotero.org/google-docs/?vso19R" TargetMode="External"/><Relationship Id="rId68" Type="http://schemas.openxmlformats.org/officeDocument/2006/relationships/hyperlink" Target="https://www.zotero.org/google-docs/?F7a4m2" TargetMode="External"/><Relationship Id="rId133" Type="http://schemas.openxmlformats.org/officeDocument/2006/relationships/hyperlink" Target="https://www.zotero.org/google-docs/?vso19R" TargetMode="External"/><Relationship Id="rId175" Type="http://schemas.openxmlformats.org/officeDocument/2006/relationships/hyperlink" Target="https://www.zotero.org/google-docs/?vso19R" TargetMode="External"/><Relationship Id="rId340" Type="http://schemas.openxmlformats.org/officeDocument/2006/relationships/hyperlink" Target="https://www.zotero.org/google-docs/?vso19R" TargetMode="External"/><Relationship Id="rId200" Type="http://schemas.openxmlformats.org/officeDocument/2006/relationships/hyperlink" Target="https://www.zotero.org/google-docs/?vso19R" TargetMode="External"/><Relationship Id="rId382" Type="http://schemas.openxmlformats.org/officeDocument/2006/relationships/hyperlink" Target="https://www.zotero.org/google-docs/?vso19R" TargetMode="External"/><Relationship Id="rId242" Type="http://schemas.openxmlformats.org/officeDocument/2006/relationships/hyperlink" Target="https://www.zotero.org/google-docs/?vso19R" TargetMode="External"/><Relationship Id="rId284" Type="http://schemas.openxmlformats.org/officeDocument/2006/relationships/hyperlink" Target="https://www.zotero.org/google-docs/?vso19R" TargetMode="External"/><Relationship Id="rId37" Type="http://schemas.openxmlformats.org/officeDocument/2006/relationships/hyperlink" Target="https://www.zotero.org/google-docs/?qmzBoT" TargetMode="External"/><Relationship Id="rId79" Type="http://schemas.openxmlformats.org/officeDocument/2006/relationships/hyperlink" Target="https://www.zotero.org/google-docs/?ltNffs" TargetMode="External"/><Relationship Id="rId102" Type="http://schemas.openxmlformats.org/officeDocument/2006/relationships/hyperlink" Target="https://www.zotero.org/google-docs/?vso19R" TargetMode="External"/><Relationship Id="rId144" Type="http://schemas.openxmlformats.org/officeDocument/2006/relationships/hyperlink" Target="https://www.zotero.org/google-docs/?vso19R" TargetMode="External"/><Relationship Id="rId90" Type="http://schemas.openxmlformats.org/officeDocument/2006/relationships/hyperlink" Target="https://www.zotero.org/google-docs/?vso19R" TargetMode="External"/><Relationship Id="rId186" Type="http://schemas.openxmlformats.org/officeDocument/2006/relationships/hyperlink" Target="https://www.zotero.org/google-docs/?vso19R" TargetMode="External"/><Relationship Id="rId351" Type="http://schemas.openxmlformats.org/officeDocument/2006/relationships/hyperlink" Target="https://www.zotero.org/google-docs/?vso19R" TargetMode="External"/><Relationship Id="rId393" Type="http://schemas.openxmlformats.org/officeDocument/2006/relationships/hyperlink" Target="https://www.zotero.org/google-docs/?vso19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23</Pages>
  <Words>12394</Words>
  <Characters>70646</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 Thompson Gonzalez</cp:lastModifiedBy>
  <cp:revision>10</cp:revision>
  <dcterms:created xsi:type="dcterms:W3CDTF">2024-02-12T22:51:00Z</dcterms:created>
  <dcterms:modified xsi:type="dcterms:W3CDTF">2024-03-06T23:38:00Z</dcterms:modified>
</cp:coreProperties>
</file>