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0"/>
      </w:pPr>
      <w:r>
        <w:rPr>
          <w:rFonts w:ascii="Century" w:hAnsi="Century"/>
          <w:b/>
          <w:sz w:val="24"/>
        </w:rPr>
        <w:t>Student Experiential Learning Fund (SELF)</w:t>
      </w:r>
    </w:p>
    <w:p>
      <w:pPr>
        <w:spacing w:line="276" w:lineRule="auto" w:before="0" w:after="0"/>
      </w:pPr>
      <w:r>
        <w:rPr>
          <w:rFonts w:ascii="Century" w:hAnsi="Century"/>
          <w:sz w:val="24"/>
        </w:rPr>
        <w:t>Application I</w:t>
      </w:r>
    </w:p>
    <w:p>
      <w:pPr>
        <w:spacing w:line="276" w:lineRule="auto" w:before="0" w:after="0"/>
      </w:pPr>
    </w:p>
    <w:p>
      <w:pPr>
        <w:spacing w:line="276" w:lineRule="auto" w:before="0" w:after="0"/>
      </w:pPr>
      <w:r>
        <w:rPr>
          <w:rFonts w:ascii="Century" w:hAnsi="Century"/>
          <w:sz w:val="24"/>
        </w:rPr>
        <w:t>Schulich School of Engineering</w:t>
      </w:r>
    </w:p>
    <w:p>
      <w:pPr>
        <w:spacing w:line="276" w:lineRule="auto" w:before="0" w:after="0"/>
      </w:pPr>
      <w:r>
        <w:rPr>
          <w:rFonts w:ascii="Century" w:hAnsi="Century"/>
          <w:sz w:val="24"/>
        </w:rPr>
        <w:t>University of Calgary</w:t>
      </w:r>
    </w:p>
    <w:p>
      <w:pPr>
        <w:spacing w:line="276" w:lineRule="auto" w:before="0" w:after="0"/>
      </w:pPr>
    </w:p>
    <w:p>
      <w:pPr>
        <w:spacing w:line="276" w:lineRule="auto" w:before="0" w:after="0"/>
      </w:pPr>
      <w:r>
        <w:rPr>
          <w:rFonts w:ascii="Century" w:hAnsi="Century"/>
          <w:sz w:val="24"/>
        </w:rPr>
        <w:t>Revised February 5th, 2026</w:t>
      </w:r>
    </w:p>
    <w:p>
      <w:pPr>
        <w:spacing w:line="276" w:lineRule="auto" w:before="0" w:after="0"/>
      </w:pPr>
    </w:p>
    <w:p>
      <w:pPr>
        <w:spacing w:line="276" w:lineRule="auto" w:before="0" w:after="0"/>
      </w:pPr>
      <w:r>
        <w:rPr>
          <w:rFonts w:ascii="Century" w:hAnsi="Century"/>
          <w:b/>
          <w:sz w:val="24"/>
        </w:rPr>
        <w:t>Primary Applicant Information</w:t>
      </w:r>
    </w:p>
    <w:tbl>
      <w:tblPr>
        <w:tblStyle w:val="TableGrid"/>
        <w:tblLayout w:type="fixed"/>
        <w:tblLook w:firstColumn="1" w:firstRow="1" w:lastColumn="0" w:lastRow="0" w:noHBand="0" w:noVBand="1" w:val="04A0"/>
        <w:tblW w:w="9360" w:type="dxa"/>
        <w:tblInd w:w="0" w:type="dxa"/>
      </w:tblPr>
      <w:tblGrid>
        <w:gridCol w:w="4680"/>
        <w:gridCol w:w="4680"/>
      </w:tblGrid>
      <w:tr>
        <w:tc>
          <w:tcPr>
            <w:tcW w:type="dxa" w:w="3276"/>
            <w:tcMar>
              <w:top w:w="144" w:type="dxa"/>
              <w:left w:w="144" w:type="dxa"/>
              <w:bottom w:w="144" w:type="dxa"/>
              <w:right w:w="144" w:type="dxa"/>
            </w:tcMar>
          </w:tcPr>
          <w:p>
            <w:pPr>
              <w:spacing w:line="276" w:lineRule="auto" w:before="0" w:after="0"/>
            </w:pPr>
            <w:r>
              <w:rPr>
                <w:rFonts w:ascii="Century" w:hAnsi="Century"/>
                <w:sz w:val="24"/>
              </w:rPr>
              <w:t>First Name</w:t>
            </w:r>
          </w:p>
        </w:tc>
        <w:tc>
          <w:tcPr>
            <w:tcW w:type="dxa" w:w="6084"/>
            <w:tcMar>
              <w:top w:w="144" w:type="dxa"/>
              <w:left w:w="144" w:type="dxa"/>
              <w:bottom w:w="144" w:type="dxa"/>
              <w:right w:w="144" w:type="dxa"/>
            </w:tcMar>
          </w:tcPr>
          <w:p>
            <w:pPr>
              <w:spacing w:line="276" w:lineRule="auto" w:before="0" w:after="0"/>
            </w:pPr>
            <w:r>
              <w:rPr>
                <w:rFonts w:ascii="Century" w:hAnsi="Century"/>
                <w:sz w:val="24"/>
              </w:rPr>
              <w:t>John</w:t>
            </w:r>
          </w:p>
        </w:tc>
      </w:tr>
      <w:tr>
        <w:tc>
          <w:tcPr>
            <w:tcW w:type="dxa" w:w="3276"/>
            <w:tcMar>
              <w:top w:w="144" w:type="dxa"/>
              <w:left w:w="144" w:type="dxa"/>
              <w:bottom w:w="144" w:type="dxa"/>
              <w:right w:w="144" w:type="dxa"/>
            </w:tcMar>
          </w:tcPr>
          <w:p>
            <w:pPr>
              <w:spacing w:line="276" w:lineRule="auto" w:before="0" w:after="0"/>
            </w:pPr>
            <w:r>
              <w:rPr>
                <w:rFonts w:ascii="Century" w:hAnsi="Century"/>
                <w:sz w:val="24"/>
              </w:rPr>
              <w:t>Last Name</w:t>
            </w:r>
          </w:p>
        </w:tc>
        <w:tc>
          <w:tcPr>
            <w:tcW w:type="dxa" w:w="6084"/>
            <w:tcMar>
              <w:top w:w="144" w:type="dxa"/>
              <w:left w:w="144" w:type="dxa"/>
              <w:bottom w:w="144" w:type="dxa"/>
              <w:right w:w="144" w:type="dxa"/>
            </w:tcMar>
          </w:tcPr>
          <w:p>
            <w:pPr>
              <w:spacing w:line="276" w:lineRule="auto" w:before="0" w:after="0"/>
            </w:pPr>
            <w:r>
              <w:rPr>
                <w:rFonts w:ascii="Century" w:hAnsi="Century"/>
                <w:sz w:val="24"/>
              </w:rPr>
              <w:t>Doe</w:t>
            </w:r>
          </w:p>
        </w:tc>
      </w:tr>
      <w:tr>
        <w:tc>
          <w:tcPr>
            <w:tcW w:type="dxa" w:w="3276"/>
            <w:tcMar>
              <w:top w:w="144" w:type="dxa"/>
              <w:left w:w="144" w:type="dxa"/>
              <w:bottom w:w="144" w:type="dxa"/>
              <w:right w:w="144" w:type="dxa"/>
            </w:tcMar>
          </w:tcPr>
          <w:p>
            <w:pPr>
              <w:spacing w:line="276" w:lineRule="auto" w:before="0" w:after="0"/>
            </w:pPr>
            <w:r>
              <w:rPr>
                <w:rFonts w:ascii="Century" w:hAnsi="Century"/>
                <w:sz w:val="24"/>
              </w:rPr>
              <w:t>UCalgary Email</w:t>
            </w:r>
          </w:p>
        </w:tc>
        <w:tc>
          <w:tcPr>
            <w:tcW w:type="dxa" w:w="6084"/>
            <w:tcMar>
              <w:top w:w="144" w:type="dxa"/>
              <w:left w:w="144" w:type="dxa"/>
              <w:bottom w:w="144" w:type="dxa"/>
              <w:right w:w="144" w:type="dxa"/>
            </w:tcMar>
          </w:tcPr>
          <w:p>
            <w:pPr>
              <w:spacing w:line="276" w:lineRule="auto" w:before="0" w:after="0"/>
            </w:pPr>
            <w:r>
              <w:rPr>
                <w:rFonts w:ascii="Century" w:hAnsi="Century"/>
                <w:sz w:val="24"/>
              </w:rPr>
              <w:t>john.doe@ucalgary.ca</w:t>
            </w:r>
          </w:p>
        </w:tc>
      </w:tr>
      <w:tr>
        <w:tc>
          <w:tcPr>
            <w:tcW w:type="dxa" w:w="3276"/>
            <w:tcMar>
              <w:top w:w="144" w:type="dxa"/>
              <w:left w:w="144" w:type="dxa"/>
              <w:bottom w:w="144" w:type="dxa"/>
              <w:right w:w="144" w:type="dxa"/>
            </w:tcMar>
          </w:tcPr>
          <w:p>
            <w:pPr>
              <w:spacing w:line="276" w:lineRule="auto" w:before="0" w:after="0"/>
            </w:pPr>
            <w:r>
              <w:rPr>
                <w:rFonts w:ascii="Century" w:hAnsi="Century"/>
                <w:sz w:val="24"/>
              </w:rPr>
              <w:t>UCID</w:t>
            </w:r>
          </w:p>
        </w:tc>
        <w:tc>
          <w:tcPr>
            <w:tcW w:type="dxa" w:w="6084"/>
            <w:tcMar>
              <w:top w:w="144" w:type="dxa"/>
              <w:left w:w="144" w:type="dxa"/>
              <w:bottom w:w="144" w:type="dxa"/>
              <w:right w:w="144" w:type="dxa"/>
            </w:tcMar>
          </w:tcPr>
          <w:p>
            <w:pPr>
              <w:spacing w:line="276" w:lineRule="auto" w:before="0" w:after="0"/>
            </w:pPr>
            <w:r>
              <w:rPr>
                <w:rFonts w:ascii="Century" w:hAnsi="Century"/>
                <w:sz w:val="24"/>
              </w:rPr>
              <w:t>12345678</w:t>
            </w:r>
          </w:p>
        </w:tc>
      </w:tr>
      <w:tr>
        <w:tc>
          <w:tcPr>
            <w:tcW w:type="dxa" w:w="3276"/>
            <w:tcMar>
              <w:top w:w="144" w:type="dxa"/>
              <w:left w:w="144" w:type="dxa"/>
              <w:bottom w:w="144" w:type="dxa"/>
              <w:right w:w="144" w:type="dxa"/>
            </w:tcMar>
          </w:tcPr>
          <w:p>
            <w:pPr>
              <w:spacing w:line="276" w:lineRule="auto" w:before="0" w:after="0"/>
            </w:pPr>
            <w:r>
              <w:rPr>
                <w:rFonts w:ascii="Century" w:hAnsi="Century"/>
                <w:sz w:val="24"/>
              </w:rPr>
              <w:t>Club / Team Name</w:t>
            </w:r>
          </w:p>
        </w:tc>
        <w:tc>
          <w:tcPr>
            <w:tcW w:type="dxa" w:w="6084"/>
            <w:tcMar>
              <w:top w:w="144" w:type="dxa"/>
              <w:left w:w="144" w:type="dxa"/>
              <w:bottom w:w="144" w:type="dxa"/>
              <w:right w:w="144" w:type="dxa"/>
            </w:tcMar>
          </w:tcPr>
          <w:p>
            <w:pPr>
              <w:spacing w:line="276" w:lineRule="auto" w:before="0" w:after="0"/>
            </w:pPr>
            <w:r>
              <w:rPr>
                <w:rFonts w:ascii="Century" w:hAnsi="Century"/>
                <w:sz w:val="24"/>
              </w:rPr>
              <w:t>Schulich Soundstage</w:t>
            </w:r>
          </w:p>
        </w:tc>
      </w:tr>
      <w:tr>
        <w:tc>
          <w:tcPr>
            <w:tcW w:type="dxa" w:w="3276"/>
            <w:tcMar>
              <w:top w:w="144" w:type="dxa"/>
              <w:left w:w="144" w:type="dxa"/>
              <w:bottom w:w="144" w:type="dxa"/>
              <w:right w:w="144" w:type="dxa"/>
            </w:tcMar>
          </w:tcPr>
          <w:p>
            <w:pPr>
              <w:spacing w:line="276" w:lineRule="auto" w:before="0" w:after="0"/>
            </w:pPr>
            <w:r>
              <w:rPr>
                <w:rFonts w:ascii="Century" w:hAnsi="Century"/>
                <w:sz w:val="24"/>
              </w:rPr>
              <w:t>Position on Club / Team</w:t>
            </w:r>
          </w:p>
        </w:tc>
        <w:tc>
          <w:tcPr>
            <w:tcW w:type="dxa" w:w="6084"/>
            <w:tcMar>
              <w:top w:w="144" w:type="dxa"/>
              <w:left w:w="144" w:type="dxa"/>
              <w:bottom w:w="144" w:type="dxa"/>
              <w:right w:w="144" w:type="dxa"/>
            </w:tcMar>
          </w:tcPr>
          <w:p>
            <w:pPr>
              <w:spacing w:line="276" w:lineRule="auto" w:before="0" w:after="0"/>
            </w:pPr>
            <w:r>
              <w:rPr>
                <w:rFonts w:ascii="Century" w:hAnsi="Century"/>
                <w:sz w:val="24"/>
              </w:rPr>
              <w:t>VP Logistics</w:t>
            </w:r>
          </w:p>
        </w:tc>
      </w:tr>
    </w:tbl>
    <w:p>
      <w:pPr>
        <w:spacing w:line="276" w:lineRule="auto" w:before="0" w:after="0"/>
      </w:pPr>
    </w:p>
    <w:p>
      <w:pPr>
        <w:spacing w:line="276" w:lineRule="auto" w:before="0" w:after="0"/>
      </w:pPr>
      <w:r>
        <w:rPr>
          <w:rFonts w:ascii="Century" w:hAnsi="Century"/>
          <w:b/>
          <w:sz w:val="24"/>
        </w:rPr>
        <w:t>Activity Proposal</w:t>
      </w:r>
    </w:p>
    <w:tbl>
      <w:tblPr>
        <w:tblStyle w:val="TableGrid"/>
        <w:tblLayout w:type="fixed"/>
        <w:tblLook w:firstColumn="1" w:firstRow="1" w:lastColumn="0" w:lastRow="0" w:noHBand="0" w:noVBand="1" w:val="04A0"/>
        <w:tblW w:w="9360" w:type="dxa"/>
        <w:tblInd w:w="0" w:type="dxa"/>
      </w:tblPr>
      <w:tblGrid>
        <w:gridCol w:w="4680"/>
        <w:gridCol w:w="4680"/>
      </w:tblGrid>
      <w:tr>
        <w:tc>
          <w:tcPr>
            <w:tcW w:type="dxa" w:w="3276"/>
            <w:tcMar>
              <w:top w:w="144" w:type="dxa"/>
              <w:left w:w="144" w:type="dxa"/>
              <w:bottom w:w="144" w:type="dxa"/>
              <w:right w:w="144" w:type="dxa"/>
            </w:tcMar>
          </w:tcPr>
          <w:p>
            <w:pPr>
              <w:spacing w:line="276" w:lineRule="auto" w:before="0" w:after="0"/>
            </w:pPr>
            <w:r>
              <w:rPr>
                <w:rFonts w:ascii="Century" w:hAnsi="Century"/>
                <w:sz w:val="24"/>
              </w:rPr>
              <w:t>Type of Activity (SELF Category)</w:t>
            </w:r>
          </w:p>
        </w:tc>
        <w:tc>
          <w:tcPr>
            <w:tcW w:type="dxa" w:w="6084"/>
            <w:tcMar>
              <w:top w:w="144" w:type="dxa"/>
              <w:left w:w="144" w:type="dxa"/>
              <w:bottom w:w="144" w:type="dxa"/>
              <w:right w:w="144" w:type="dxa"/>
            </w:tcMar>
          </w:tcPr>
          <w:p>
            <w:pPr>
              <w:spacing w:line="276" w:lineRule="auto" w:before="0" w:after="0"/>
            </w:pPr>
            <w:r>
              <w:rPr>
                <w:rFonts w:ascii="Century" w:hAnsi="Century"/>
                <w:sz w:val="24"/>
              </w:rPr>
              <w:t>Category A: Student Life Events and Mental Well-Being</w:t>
            </w:r>
          </w:p>
        </w:tc>
      </w:tr>
      <w:tr>
        <w:tc>
          <w:tcPr>
            <w:tcW w:type="dxa" w:w="3276"/>
            <w:tcMar>
              <w:top w:w="144" w:type="dxa"/>
              <w:left w:w="144" w:type="dxa"/>
              <w:bottom w:w="144" w:type="dxa"/>
              <w:right w:w="144" w:type="dxa"/>
            </w:tcMar>
          </w:tcPr>
          <w:p>
            <w:pPr>
              <w:spacing w:line="276" w:lineRule="auto" w:before="0" w:after="0"/>
            </w:pPr>
            <w:r>
              <w:rPr>
                <w:rFonts w:ascii="Century" w:hAnsi="Century"/>
                <w:sz w:val="24"/>
              </w:rPr>
              <w:t>Activity Name</w:t>
            </w:r>
          </w:p>
        </w:tc>
        <w:tc>
          <w:tcPr>
            <w:tcW w:type="dxa" w:w="6084"/>
            <w:tcMar>
              <w:top w:w="144" w:type="dxa"/>
              <w:left w:w="144" w:type="dxa"/>
              <w:bottom w:w="144" w:type="dxa"/>
              <w:right w:w="144" w:type="dxa"/>
            </w:tcMar>
          </w:tcPr>
          <w:p>
            <w:pPr>
              <w:spacing w:line="276" w:lineRule="auto" w:before="0" w:after="0"/>
            </w:pPr>
            <w:r>
              <w:rPr>
                <w:rFonts w:ascii="Century" w:hAnsi="Century"/>
                <w:sz w:val="24"/>
              </w:rPr>
              <w:t>Open Mic Night</w:t>
            </w:r>
          </w:p>
        </w:tc>
      </w:tr>
      <w:tr>
        <w:tc>
          <w:tcPr>
            <w:tcW w:type="dxa" w:w="6084"/>
            <w:gridSpan w:val="2"/>
            <w:tcMar>
              <w:top w:w="144" w:type="dxa"/>
              <w:left w:w="144" w:type="dxa"/>
              <w:bottom w:w="144" w:type="dxa"/>
              <w:right w:w="144" w:type="dxa"/>
            </w:tcMar>
          </w:tcPr>
          <w:p>
            <w:pPr>
              <w:spacing w:line="276" w:lineRule="auto" w:before="0" w:after="0"/>
            </w:pPr>
            <w:r>
              <w:rPr>
                <w:rFonts w:ascii="Century" w:hAnsi="Century"/>
                <w:sz w:val="24"/>
              </w:rPr>
              <w:t>Description of Activity</w:t>
            </w:r>
          </w:p>
        </w:tc>
      </w:tr>
      <w:tr>
        <w:tc>
          <w:tcPr>
            <w:tcW w:type="dxa" w:w="6084"/>
            <w:gridSpan w:val="2"/>
            <w:tcMar>
              <w:top w:w="144" w:type="dxa"/>
              <w:left w:w="144" w:type="dxa"/>
              <w:bottom w:w="144" w:type="dxa"/>
              <w:right w:w="144" w:type="dxa"/>
            </w:tcMar>
          </w:tcPr>
          <w:p>
            <w:pPr>
              <w:spacing w:line="276" w:lineRule="auto" w:before="0" w:after="0"/>
            </w:pPr>
            <w:r>
              <w:rPr>
                <w:rFonts w:ascii="Century" w:hAnsi="Century"/>
                <w:sz w:val="24"/>
              </w:rPr>
              <w:t>Open Mic Night is an event where individuals will gather to share their creative expression through spoken word, music, and other forms of performance. Participants will be given a designated time slot to present their chosen art form, which may include poetry, short stories, comedy sketches, or musical performances.</w:t>
              <w:br/>
              <w:br/>
              <w:t>The event will be structured as a series of performances, with each participant taking the stage to showcase their talents. Emphasis will be placed on creativity, originality, and individuality, as participants will have the freedom to express themselves in a supportive and accepting environment.</w:t>
              <w:br/>
              <w:br/>
              <w:t>The experience will be engaging, interactive, and inclusive, allowing participants and attendees alike to connect with one another through the shared appreciation of artistic expression. A moderator will facilitate the event, ensuring a smooth and enjoyable experience for all involved.</w:t>
            </w:r>
          </w:p>
        </w:tc>
      </w:tr>
      <w:tr>
        <w:tc>
          <w:tcPr>
            <w:tcW w:type="dxa" w:w="3276"/>
            <w:tcMar>
              <w:top w:w="144" w:type="dxa"/>
              <w:left w:w="144" w:type="dxa"/>
              <w:bottom w:w="144" w:type="dxa"/>
              <w:right w:w="144" w:type="dxa"/>
            </w:tcMar>
          </w:tcPr>
          <w:p>
            <w:pPr>
              <w:spacing w:line="276" w:lineRule="auto" w:before="0" w:after="0"/>
            </w:pPr>
            <w:r>
              <w:rPr>
                <w:rFonts w:ascii="Century" w:hAnsi="Century"/>
                <w:sz w:val="24"/>
              </w:rPr>
              <w:t>Start Date of Activity</w:t>
            </w:r>
          </w:p>
        </w:tc>
        <w:tc>
          <w:tcPr>
            <w:tcW w:type="dxa" w:w="6084"/>
            <w:tcMar>
              <w:top w:w="144" w:type="dxa"/>
              <w:left w:w="144" w:type="dxa"/>
              <w:bottom w:w="144" w:type="dxa"/>
              <w:right w:w="144" w:type="dxa"/>
            </w:tcMar>
          </w:tcPr>
          <w:p>
            <w:pPr>
              <w:spacing w:line="276" w:lineRule="auto" w:before="0" w:after="0"/>
            </w:pPr>
            <w:r>
              <w:rPr>
                <w:rFonts w:ascii="Century" w:hAnsi="Century"/>
                <w:sz w:val="24"/>
              </w:rPr>
              <w:t>Month Day, Year</w:t>
            </w:r>
          </w:p>
        </w:tc>
      </w:tr>
      <w:tr>
        <w:tc>
          <w:tcPr>
            <w:tcW w:type="dxa" w:w="3276"/>
            <w:tcMar>
              <w:top w:w="144" w:type="dxa"/>
              <w:left w:w="144" w:type="dxa"/>
              <w:bottom w:w="144" w:type="dxa"/>
              <w:right w:w="144" w:type="dxa"/>
            </w:tcMar>
          </w:tcPr>
          <w:p>
            <w:pPr>
              <w:spacing w:line="276" w:lineRule="auto" w:before="0" w:after="0"/>
            </w:pPr>
            <w:r>
              <w:rPr>
                <w:rFonts w:ascii="Century" w:hAnsi="Century"/>
                <w:sz w:val="24"/>
              </w:rPr>
              <w:t>End Date of Activity</w:t>
            </w:r>
          </w:p>
        </w:tc>
        <w:tc>
          <w:tcPr>
            <w:tcW w:type="dxa" w:w="6084"/>
            <w:tcMar>
              <w:top w:w="144" w:type="dxa"/>
              <w:left w:w="144" w:type="dxa"/>
              <w:bottom w:w="144" w:type="dxa"/>
              <w:right w:w="144" w:type="dxa"/>
            </w:tcMar>
          </w:tcPr>
          <w:p>
            <w:pPr>
              <w:spacing w:line="276" w:lineRule="auto" w:before="0" w:after="0"/>
            </w:pPr>
            <w:r>
              <w:rPr>
                <w:rFonts w:ascii="Century" w:hAnsi="Century"/>
                <w:sz w:val="24"/>
              </w:rPr>
              <w:t>Month Day, Year</w:t>
            </w:r>
          </w:p>
        </w:tc>
      </w:tr>
      <w:tr>
        <w:tc>
          <w:tcPr>
            <w:tcW w:type="dxa" w:w="3276"/>
            <w:tcMar>
              <w:top w:w="144" w:type="dxa"/>
              <w:left w:w="144" w:type="dxa"/>
              <w:bottom w:w="144" w:type="dxa"/>
              <w:right w:w="144" w:type="dxa"/>
            </w:tcMar>
          </w:tcPr>
          <w:p>
            <w:pPr>
              <w:spacing w:line="276" w:lineRule="auto" w:before="0" w:after="0"/>
            </w:pPr>
            <w:r>
              <w:rPr>
                <w:rFonts w:ascii="Century" w:hAnsi="Century"/>
                <w:sz w:val="24"/>
              </w:rPr>
              <w:t>Location of Activity</w:t>
            </w:r>
          </w:p>
        </w:tc>
        <w:tc>
          <w:tcPr>
            <w:tcW w:type="dxa" w:w="6084"/>
            <w:tcMar>
              <w:top w:w="144" w:type="dxa"/>
              <w:left w:w="144" w:type="dxa"/>
              <w:bottom w:w="144" w:type="dxa"/>
              <w:right w:w="144" w:type="dxa"/>
            </w:tcMar>
          </w:tcPr>
          <w:p>
            <w:pPr>
              <w:spacing w:line="276" w:lineRule="auto" w:before="0" w:after="0"/>
            </w:pPr>
            <w:r>
              <w:rPr>
                <w:rFonts w:ascii="Century" w:hAnsi="Century"/>
                <w:sz w:val="24"/>
              </w:rPr>
              <w:t>ENGG Building, Social Staircase</w:t>
            </w:r>
          </w:p>
        </w:tc>
      </w:tr>
      <w:tr>
        <w:tc>
          <w:tcPr>
            <w:tcW w:type="dxa" w:w="6084"/>
            <w:gridSpan w:val="2"/>
            <w:tcMar>
              <w:top w:w="144" w:type="dxa"/>
              <w:left w:w="144" w:type="dxa"/>
              <w:bottom w:w="144" w:type="dxa"/>
              <w:right w:w="144" w:type="dxa"/>
            </w:tcMar>
          </w:tcPr>
          <w:p>
            <w:pPr>
              <w:spacing w:line="276" w:lineRule="auto" w:before="0" w:after="0"/>
            </w:pPr>
            <w:r>
              <w:rPr>
                <w:rFonts w:ascii="Century" w:hAnsi="Century"/>
                <w:sz w:val="24"/>
              </w:rPr>
              <w:t>Schedule / Itinerary of Activity (5pm-7pm)</w:t>
            </w:r>
          </w:p>
        </w:tc>
      </w:tr>
      <w:tr>
        <w:tc>
          <w:tcPr>
            <w:tcW w:type="dxa" w:w="6084"/>
            <w:gridSpan w:val="2"/>
            <w:tcMar>
              <w:top w:w="144" w:type="dxa"/>
              <w:left w:w="144" w:type="dxa"/>
              <w:bottom w:w="144" w:type="dxa"/>
              <w:right w:w="144" w:type="dxa"/>
            </w:tcMar>
          </w:tcPr>
          <w:p>
            <w:pPr>
              <w:spacing w:line="276" w:lineRule="auto" w:before="0" w:after="0"/>
            </w:pPr>
            <w:r>
              <w:rPr>
                <w:rFonts w:ascii="Century" w:hAnsi="Century"/>
                <w:sz w:val="24"/>
              </w:rPr>
              <w:t>The schedule for Open Mic Night will feature the following events:</w:t>
              <w:br/>
              <w:br/>
              <w:t xml:space="preserve">On Month Day, Year, from 5:00 PM to 7:00 PM, the event will take place at the Schulich Social Stairs, Engineering Building, University of Calgary. </w:t>
              <w:br/>
              <w:br/>
              <w:t>The schedule will commence at 5:00 PM for setup and registration of performers. Food will be provided from 5:30 PM onwards, allowing students to fuel up before the performances begin.</w:t>
              <w:br/>
              <w:br/>
              <w:t>At 6:00 PM, the live musical performances will start, with participants taking turns on stage in a queue. This will provide an inclusive space for students to share their musical talents, build community, and engage in experiential learning opportunities that foster creativity, communication, and collaboration. The event will conclude at 7:00 PM.</w:t>
            </w:r>
          </w:p>
        </w:tc>
      </w:tr>
    </w:tbl>
    <w:p>
      <w:pPr>
        <w:spacing w:line="276" w:lineRule="auto" w:before="0" w:after="0"/>
      </w:pPr>
    </w:p>
    <w:p>
      <w:pPr>
        <w:spacing w:line="276" w:lineRule="auto" w:before="0" w:after="0"/>
      </w:pPr>
      <w:r>
        <w:rPr>
          <w:rFonts w:ascii="Century" w:hAnsi="Century"/>
          <w:b/>
          <w:sz w:val="24"/>
        </w:rPr>
        <w:t>Reflection</w:t>
      </w:r>
    </w:p>
    <w:tbl>
      <w:tblPr>
        <w:tblStyle w:val="TableGrid"/>
        <w:tblLayout w:type="fixed"/>
        <w:tblLook w:firstColumn="1" w:firstRow="1" w:lastColumn="0" w:lastRow="0" w:noHBand="0" w:noVBand="1" w:val="04A0"/>
        <w:tblW w:w="9360" w:type="dxa"/>
        <w:tblInd w:w="0" w:type="dxa"/>
      </w:tblPr>
      <w:tblGrid>
        <w:gridCol w:w="9360"/>
      </w:tblGrid>
      <w:tr>
        <w:tc>
          <w:tcPr>
            <w:tcW w:type="dxa" w:w="9360"/>
            <w:tcMar>
              <w:top w:w="144" w:type="dxa"/>
              <w:left w:w="144" w:type="dxa"/>
              <w:bottom w:w="144" w:type="dxa"/>
              <w:right w:w="144" w:type="dxa"/>
            </w:tcMar>
          </w:tcPr>
          <w:p>
            <w:pPr>
              <w:spacing w:line="276" w:lineRule="auto" w:before="0" w:after="0"/>
            </w:pPr>
            <w:r>
              <w:rPr>
                <w:rFonts w:ascii="Century" w:hAnsi="Century"/>
                <w:sz w:val="24"/>
              </w:rPr>
              <w:t>How does this activity qualify under this category?</w:t>
            </w:r>
          </w:p>
        </w:tc>
      </w:tr>
      <w:tr>
        <w:tc>
          <w:tcPr>
            <w:tcW w:type="dxa" w:w="9360"/>
            <w:tcMar>
              <w:top w:w="144" w:type="dxa"/>
              <w:left w:w="144" w:type="dxa"/>
              <w:bottom w:w="144" w:type="dxa"/>
              <w:right w:w="144" w:type="dxa"/>
            </w:tcMar>
          </w:tcPr>
          <w:p>
            <w:pPr>
              <w:spacing w:line="276" w:lineRule="auto" w:before="0" w:after="0"/>
            </w:pPr>
            <w:r>
              <w:rPr>
                <w:rFonts w:ascii="Century" w:hAnsi="Century"/>
                <w:sz w:val="24"/>
              </w:rPr>
              <w:t>Open Mic Night will positively impact Category A: Student Life Events and Mental Well-Being by fostering a supportive environment that encourages students to express themselves creatively. By allowing participants to showcase their musical talents, the event will promote self-confidence, self-esteem, and a sense of accomplishment. This inclusive space will also provide opportunities for students to connect with peers, develop social skills, and build meaningful relationships. Furthermore, Open Mic Night will offer a stress-relieving outlet for participants, contributing to improved mental well-being and overall student satisfaction. The event's informal and welcoming atmosphere will ensure that all students feel comfortable participating and engaging with their peers.</w:t>
            </w:r>
          </w:p>
        </w:tc>
      </w:tr>
      <w:tr>
        <w:tc>
          <w:tcPr>
            <w:tcW w:type="dxa" w:w="9360"/>
            <w:tcMar>
              <w:top w:w="144" w:type="dxa"/>
              <w:left w:w="144" w:type="dxa"/>
              <w:bottom w:w="144" w:type="dxa"/>
              <w:right w:w="144" w:type="dxa"/>
            </w:tcMar>
          </w:tcPr>
          <w:p>
            <w:pPr>
              <w:spacing w:line="276" w:lineRule="auto" w:before="0" w:after="0"/>
            </w:pPr>
            <w:r>
              <w:rPr>
                <w:rFonts w:ascii="Century" w:hAnsi="Century"/>
                <w:sz w:val="24"/>
              </w:rPr>
              <w:t>How does this activity have an impact on Experiential Learning and/or have relevance towards the betterment of the Engineering student experience?</w:t>
            </w:r>
          </w:p>
        </w:tc>
      </w:tr>
      <w:tr>
        <w:tc>
          <w:tcPr>
            <w:tcW w:type="dxa" w:w="9360"/>
            <w:tcMar>
              <w:top w:w="144" w:type="dxa"/>
              <w:left w:w="144" w:type="dxa"/>
              <w:bottom w:w="144" w:type="dxa"/>
              <w:right w:w="144" w:type="dxa"/>
            </w:tcMar>
          </w:tcPr>
          <w:p>
            <w:pPr>
              <w:spacing w:line="276" w:lineRule="auto" w:before="0" w:after="0"/>
            </w:pPr>
            <w:r>
              <w:rPr>
                <w:rFonts w:ascii="Century" w:hAnsi="Century"/>
                <w:sz w:val="24"/>
              </w:rPr>
              <w:t>Open Mic Night will serve as a platform for experiential learning by providing engineering students with an opportunity to develop essential skills such as communication, teamwork, and public speaking. Participants will engage in hands-on learning, receiving immediate feedback from their peers, and fostering a sense of community through shared musical experiences. This event will also cater to the diverse interests and talents of engineering students, encouraging them to explore their creative side and build confidence in a low-stakes, informal environment. By offering a platform for self-expression and entertainment, Open Mic Night will contribute to a richer campus experience, fostering well-rounded and adaptable engineering professionals.</w:t>
            </w:r>
          </w:p>
        </w:tc>
      </w:tr>
    </w:tbl>
    <w:p>
      <w:pPr>
        <w:spacing w:line="276" w:lineRule="auto" w:before="0" w:after="0"/>
      </w:pPr>
    </w:p>
    <w:p>
      <w:pPr>
        <w:spacing w:line="276" w:lineRule="auto" w:before="0" w:after="0"/>
      </w:pPr>
      <w:r>
        <w:rPr>
          <w:rFonts w:ascii="Century" w:hAnsi="Century"/>
          <w:b/>
          <w:sz w:val="24"/>
        </w:rPr>
        <w:t>Budget</w:t>
      </w:r>
    </w:p>
    <w:p>
      <w:pPr>
        <w:spacing w:line="276" w:lineRule="auto" w:before="0" w:after="0"/>
      </w:pPr>
      <w:r>
        <w:rPr>
          <w:rFonts w:ascii="Century" w:hAnsi="Century"/>
          <w:sz w:val="24"/>
        </w:rPr>
        <w:t>Please refer to "SELF Budget" excel sheet.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