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t>Technical documentation</w:t>
      </w:r>
    </w:p>
    <w:p>
      <w:pPr>
        <w:pStyle w:val="Subtitle"/>
      </w:pPr>
      <w:r>
        <w:t>Enhanced Pandoc reference DOCX for clean, modern generated reports</w:t>
      </w:r>
    </w:p>
    <w:p>
      <w:pPr>
        <w:pStyle w:val="BodyText"/>
      </w:pPr>
      <w:r>
        <w:rPr>
          <w:b/>
        </w:rPr>
        <w:t xml:space="preserve">Design intent: </w:t>
      </w:r>
      <w:r>
        <w:t>a readable corporate template optimized for long Markdown → DOCX conversions: technical sections, wide tables, code blocks, API references, deployment instructions, notes, and checklists.</w:t>
      </w:r>
    </w:p>
    <w:p>
      <w:pPr>
        <w:pStyle w:val="Heading1"/>
      </w:pPr>
      <w:r>
        <w:t>Document structure preview</w:t>
      </w:r>
    </w:p>
    <w:p>
      <w:pPr>
        <w:pStyle w:val="BodyText"/>
      </w:pPr>
      <w:r>
        <w:t>This template uses strong hierarchy, generous spacing, restrained blue accents, compact table typography, and readable monospace code blocks. It avoids fragile Word-only layout tricks so Pandoc output remains stable.</w:t>
      </w:r>
    </w:p>
    <w:p>
      <w:pPr>
        <w:pStyle w:val="Heading2"/>
      </w:pPr>
      <w:r>
        <w:t>Section heading</w:t>
      </w:r>
    </w:p>
    <w:p>
      <w:pPr>
        <w:pStyle w:val="BodyText"/>
      </w:pPr>
      <w:r>
        <w:t>Use semantic Markdown headings (#, ##, ###). The reference document controls the visual design after conversion. Keep Markdown clean; avoid inline HTML when possible.</w:t>
      </w:r>
    </w:p>
    <w:p>
      <w:pPr>
        <w:pStyle w:val="Heading3"/>
      </w:pPr>
      <w:r>
        <w:t>Subsection heading</w:t>
      </w:r>
    </w:p>
    <w:p>
      <w:pPr>
        <w:pStyle w:val="BodyText"/>
      </w:pPr>
      <w:r>
        <w:t>Body text is slightly compact but comfortable for technical documentation. Spacing is tuned for long generated reports rather than marketing brochures.</w:t>
      </w:r>
    </w:p>
    <w:p>
      <w:pPr>
        <w:pStyle w:val="Heading2"/>
      </w:pPr>
      <w:r>
        <w:t>Callout / note style</w:t>
      </w:r>
    </w:p>
    <w:p>
      <w:pPr>
        <w:pStyle w:val="BlockText"/>
      </w:pPr>
      <w:r>
        <w:t>Important: for DOCX exports, render Mermaid diagrams to PNG/SVG before Pandoc conversion. Word will not execute Mermaid code blocks.</w:t>
      </w:r>
    </w:p>
    <w:p>
      <w:pPr>
        <w:pStyle w:val="Heading2"/>
      </w:pPr>
      <w:r>
        <w:t>Table style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71"/>
        <w:gridCol w:w="3371"/>
        <w:gridCol w:w="3371"/>
      </w:tblGrid>
      <w:tr>
        <w:tc>
          <w:tcPr>
            <w:tcW w:type="dxa" w:w="3371"/>
            <w:vAlign w:val="center"/>
          </w:tcPr>
          <w:p>
            <w:r>
              <w:t>Component</w:t>
            </w:r>
          </w:p>
        </w:tc>
        <w:tc>
          <w:tcPr>
            <w:tcW w:type="dxa" w:w="3371"/>
            <w:vAlign w:val="center"/>
          </w:tcPr>
          <w:p>
            <w:r>
              <w:t>Responsibility</w:t>
            </w:r>
          </w:p>
        </w:tc>
        <w:tc>
          <w:tcPr>
            <w:tcW w:type="dxa" w:w="3371"/>
            <w:vAlign w:val="center"/>
          </w:tcPr>
          <w:p>
            <w:r>
              <w:t>Output</w:t>
            </w:r>
          </w:p>
        </w:tc>
      </w:tr>
      <w:tr>
        <w:tc>
          <w:tcPr>
            <w:tcW w:type="dxa" w:w="3371"/>
          </w:tcPr>
          <w:p>
            <w:r>
              <w:t>Scanner</w:t>
            </w:r>
          </w:p>
        </w:tc>
        <w:tc>
          <w:tcPr>
            <w:tcW w:type="dxa" w:w="3371"/>
          </w:tcPr>
          <w:p>
            <w:r>
              <w:t>Analyze repository files and metadata</w:t>
            </w:r>
          </w:p>
        </w:tc>
        <w:tc>
          <w:tcPr>
            <w:tcW w:type="dxa" w:w="3371"/>
          </w:tcPr>
          <w:p>
            <w:r>
              <w:t>repo_manifest.json</w:t>
            </w:r>
          </w:p>
        </w:tc>
      </w:tr>
      <w:tr>
        <w:tc>
          <w:tcPr>
            <w:tcW w:type="dxa" w:w="3371"/>
          </w:tcPr>
          <w:p>
            <w:r>
              <w:t>Planner</w:t>
            </w:r>
          </w:p>
        </w:tc>
        <w:tc>
          <w:tcPr>
            <w:tcW w:type="dxa" w:w="3371"/>
          </w:tcPr>
          <w:p>
            <w:r>
              <w:t>Build an actionable documentation plan</w:t>
            </w:r>
          </w:p>
        </w:tc>
        <w:tc>
          <w:tcPr>
            <w:tcW w:type="dxa" w:w="3371"/>
          </w:tcPr>
          <w:p>
            <w:r>
              <w:t>documentation_plan.json</w:t>
            </w:r>
          </w:p>
        </w:tc>
      </w:tr>
      <w:tr>
        <w:tc>
          <w:tcPr>
            <w:tcW w:type="dxa" w:w="3371"/>
          </w:tcPr>
          <w:p>
            <w:r>
              <w:t>Renderer</w:t>
            </w:r>
          </w:p>
        </w:tc>
        <w:tc>
          <w:tcPr>
            <w:tcW w:type="dxa" w:w="3371"/>
          </w:tcPr>
          <w:p>
            <w:r>
              <w:t>Convert Markdown into final formats</w:t>
            </w:r>
          </w:p>
        </w:tc>
        <w:tc>
          <w:tcPr>
            <w:tcW w:type="dxa" w:w="3371"/>
          </w:tcPr>
          <w:p>
            <w:r>
              <w:t>DOCX / ODT / HTML</w:t>
            </w:r>
          </w:p>
        </w:tc>
      </w:tr>
    </w:tbl>
    <w:p>
      <w:pPr>
        <w:pStyle w:val="Heading2"/>
      </w:pPr>
      <w:r>
        <w:t>Code style</w:t>
      </w:r>
    </w:p>
    <w:p>
      <w:pPr>
        <w:pStyle w:val="CodeBlock"/>
      </w:pPr>
      <w:r>
        <w:t>async def render_docx(markdown_path: Path, output_path: Path) -&gt; Path:</w:t>
        <w:br/>
        <w:t xml:space="preserve">    return await pandoc_renderer.render(markdown_path, output_path)</w:t>
      </w:r>
    </w:p>
    <w:p>
      <w:pPr>
        <w:pStyle w:val="Heading2"/>
      </w:pPr>
      <w:r>
        <w:t>Design checklist</w:t>
      </w:r>
    </w:p>
    <w:p>
      <w:pPr>
        <w:pStyle w:val="ListParagraph"/>
      </w:pPr>
      <w:r>
        <w:t>Use Markdown headings for structure, not manual font sizes.</w:t>
      </w:r>
    </w:p>
    <w:p>
      <w:pPr>
        <w:pStyle w:val="ListParagraph"/>
      </w:pPr>
      <w:r>
        <w:t>Use tables sparingly and keep them narrow enough for Word pages.</w:t>
      </w:r>
    </w:p>
    <w:p>
      <w:pPr>
        <w:pStyle w:val="ListParagraph"/>
      </w:pPr>
      <w:r>
        <w:t>Pre-render diagrams as images for DOCX/PDF outputs.</w:t>
      </w:r>
    </w:p>
    <w:p>
      <w:pPr>
        <w:pStyle w:val="ListParagraph"/>
      </w:pPr>
      <w:r>
        <w:t>Keep code snippets short or place long code in appendices.</w:t>
      </w:r>
    </w:p>
    <w:p>
      <w:pPr>
        <w:pStyle w:val="Heading4"/>
      </w:pPr>
      <w:r>
        <w:t>Lower-level heading example</w:t>
      </w:r>
    </w:p>
    <w:p>
      <w:pPr>
        <w:pStyle w:val="BodyText"/>
      </w:pPr>
      <w:r>
        <w:t>Heading 4 is intentionally quieter, suitable for detailed reference sections without overwhelming the document hierarchy.</w:t>
      </w:r>
    </w:p>
    <w:sectPr>
      <w:headerReference w:type="default" r:id="rId9"/>
      <w:footerReference w:type="default" r:id="rId10"/>
      <w:pgMar w:top="935" w:bottom="879" w:left="879" w:right="822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B6775"/>
        <w:sz w:val="17"/>
      </w:rPr>
      <w:t xml:space="preserve">Page </w:t>
    </w:r>
    <w:r>
      <w:rPr>
        <w:color w:val="5B6775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5B6775"/>
        <w:sz w:val="17"/>
      </w:rPr>
      <w:t>Technical documentation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59" w:lineRule="auto"/>
    </w:pPr>
    <w:rPr>
      <w:rFonts w:ascii="Arial" w:hAnsi="Arial" w:eastAsia="Arial" w:cs="Arial"/>
      <w:color w:val="202730"/>
      <w:sz w:val="20"/>
    </w:rPr>
  </w:style>
  <w:style w:type="paragraph" w:styleId="BodyText">
    <w:name w:val="Body Text"/>
    <w:basedOn w:val="Normal"/>
    <w:link w:val="BodyTextChar"/>
    <w:qFormat/>
    <w:pPr>
      <w:spacing w:before="0" w:after="140" w:line="259" w:lineRule="auto"/>
    </w:pPr>
    <w:rPr>
      <w:rFonts w:ascii="Arial" w:hAnsi="Arial" w:eastAsia="Arial" w:cs="Arial"/>
      <w:color w:val="202730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before="0" w:after="160" w:line="276" w:lineRule="auto"/>
    </w:pPr>
    <w:rPr>
      <w:rFonts w:ascii="Aptos" w:hAnsi="Aptos" w:eastAsia="Aptos" w:cs="Aptos"/>
      <w:color w:val="1F2937"/>
      <w:sz w:val="21"/>
    </w:rPr>
  </w:style>
  <w:style w:type="paragraph" w:customStyle="1" w:styleId="Compact">
    <w:name w:val="Compact"/>
    <w:basedOn w:val="Normal"/>
    <w:qFormat/>
    <w:pPr>
      <w:spacing w:before="0" w:after="60" w:line="252" w:lineRule="auto"/>
      <w:ind w:left="255"/>
    </w:pPr>
    <w:rPr>
      <w:rFonts w:ascii="Arial" w:hAnsi="Arial" w:eastAsia="Arial" w:cs="Arial"/>
      <w:color w:val="202730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60" w:line="240" w:lineRule="auto"/>
      <w:jc w:val="left"/>
    </w:pPr>
    <w:rPr>
      <w:rFonts w:asciiTheme="majorHAnsi" w:eastAsiaTheme="majorEastAsia" w:hAnsiTheme="majorHAnsi" w:cstheme="majorBidi" w:ascii="Arial" w:hAnsi="Arial" w:eastAsia="Arial" w:cs="Arial"/>
      <w:b/>
      <w:bCs/>
      <w:color w:val="103E69"/>
      <w:sz w:val="5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360" w:line="259" w:lineRule="auto"/>
      <w:jc w:val="center"/>
    </w:pPr>
    <w:rPr>
      <w:rFonts w:ascii="Arial" w:hAnsi="Arial" w:eastAsia="Arial" w:cs="Arial"/>
      <w:i w:val="0"/>
      <w:color w:val="536273"/>
      <w:sz w:val="23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0" w:after="40" w:line="240" w:lineRule="auto"/>
      <w:jc w:val="center"/>
    </w:pPr>
    <w:rPr>
      <w:rFonts w:ascii="Aptos" w:hAnsi="Aptos" w:eastAsia="Aptos" w:cs="Aptos"/>
      <w:color w:val="64748B"/>
      <w:sz w:val="19"/>
    </w:rPr>
  </w:style>
  <w:style w:type="paragraph" w:styleId="Date">
    <w:name w:val="Date"/>
    <w:next w:val="BodyText"/>
    <w:qFormat/>
    <w:pPr>
      <w:keepNext/>
      <w:keepLines/>
      <w:spacing w:before="0" w:after="40" w:line="240" w:lineRule="auto"/>
      <w:jc w:val="center"/>
    </w:pPr>
    <w:rPr>
      <w:rFonts w:ascii="Aptos" w:hAnsi="Aptos" w:eastAsia="Aptos" w:cs="Aptos"/>
      <w:color w:val="64748B"/>
      <w:sz w:val="19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left"/>
    </w:pPr>
    <w:rPr>
      <w:rFonts w:ascii="Aptos Display" w:hAnsi="Aptos Display" w:eastAsia="Aptos Display" w:cs="Aptos Display"/>
      <w:b/>
      <w:color w:val="174A7C"/>
      <w:sz w:val="26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80" w:line="252" w:lineRule="auto"/>
    </w:pPr>
    <w:rPr>
      <w:rFonts w:ascii="Aptos" w:hAnsi="Aptos" w:eastAsia="Aptos" w:cs="Aptos"/>
      <w:color w:val="1F2937"/>
      <w:sz w:val="19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80" w:line="252" w:lineRule="auto"/>
    </w:pPr>
    <w:rPr>
      <w:rFonts w:ascii="Aptos" w:hAnsi="Aptos" w:eastAsia="Aptos" w:cs="Aptos"/>
      <w:color w:val="1F2937"/>
      <w:sz w:val="19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180" w:line="252" w:lineRule="auto"/>
      <w:outlineLvl w:val="0"/>
      <w:pBdr>
        <w:bottom w:val="single" w:sz="12" w:space="8" w:color="18A0FB"/>
      </w:pBdr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174A7C"/>
      <w:sz w:val="44"/>
      <w:szCs w:val="32"/>
    </w:rPr>
    <w:unhideWhenUsed/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40" w:line="252" w:lineRule="auto"/>
      <w:outlineLvl w:val="1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174A7C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0" w:after="100" w:line="252" w:lineRule="auto"/>
      <w:outlineLvl w:val="2"/>
    </w:pPr>
    <w:rPr>
      <w:rFonts w:asciiTheme="majorHAnsi" w:eastAsiaTheme="majorEastAsia" w:hAnsiTheme="majorHAnsi" w:cstheme="majorBidi" w:ascii="Aptos" w:hAnsi="Aptos" w:eastAsia="Aptos" w:cs="Aptos"/>
      <w:b/>
      <w:bCs/>
      <w:color w:val="0F172A"/>
      <w:sz w:val="27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80" w:line="252" w:lineRule="auto"/>
      <w:outlineLvl w:val="3"/>
    </w:pPr>
    <w:rPr>
      <w:rFonts w:asciiTheme="majorHAnsi" w:eastAsiaTheme="majorEastAsia" w:hAnsiTheme="majorHAnsi" w:cstheme="majorBidi" w:ascii="Aptos" w:hAnsi="Aptos" w:eastAsia="Aptos" w:cs="Aptos"/>
      <w:b/>
      <w:bCs/>
      <w:i/>
      <w:color w:val="0F766E"/>
      <w:sz w:val="23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60" w:after="60" w:line="252" w:lineRule="auto"/>
      <w:outlineLvl w:val="4"/>
    </w:pPr>
    <w:rPr>
      <w:rFonts w:asciiTheme="majorHAnsi" w:eastAsiaTheme="majorEastAsia" w:hAnsiTheme="majorHAnsi" w:cstheme="majorBidi" w:ascii="Aptos" w:hAnsi="Aptos" w:eastAsia="Aptos" w:cs="Aptos"/>
      <w:b/>
      <w:iCs/>
      <w:color w:val="64748B"/>
      <w:sz w:val="21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20" w:after="40" w:line="252" w:lineRule="auto"/>
      <w:outlineLvl w:val="5"/>
    </w:pPr>
    <w:rPr>
      <w:rFonts w:asciiTheme="majorHAnsi" w:eastAsiaTheme="majorEastAsia" w:hAnsiTheme="majorHAnsi" w:cstheme="majorBidi" w:ascii="Aptos" w:hAnsi="Aptos" w:eastAsia="Aptos" w:cs="Aptos"/>
      <w:b/>
      <w:color w:val="64748B"/>
      <w:sz w:val="20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80" w:after="40" w:line="252" w:lineRule="auto"/>
      <w:outlineLvl w:val="6"/>
    </w:pPr>
    <w:rPr>
      <w:rFonts w:asciiTheme="majorHAnsi" w:eastAsiaTheme="majorEastAsia" w:hAnsiTheme="majorHAnsi" w:cstheme="majorBidi" w:ascii="Aptos" w:hAnsi="Aptos" w:eastAsia="Aptos" w:cs="Aptos"/>
      <w:b w:val="0"/>
      <w:color w:val="64748B"/>
      <w:sz w:val="19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80" w:after="40" w:line="252" w:lineRule="auto"/>
      <w:outlineLvl w:val="7"/>
    </w:pPr>
    <w:rPr>
      <w:rFonts w:asciiTheme="majorHAnsi" w:eastAsiaTheme="majorEastAsia" w:hAnsiTheme="majorHAnsi" w:cstheme="majorBidi" w:ascii="Aptos" w:hAnsi="Aptos" w:eastAsia="Aptos" w:cs="Aptos"/>
      <w:b w:val="0"/>
      <w:color w:val="64748B"/>
      <w:sz w:val="19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80" w:after="40" w:line="252" w:lineRule="auto"/>
      <w:outlineLvl w:val="8"/>
    </w:pPr>
    <w:rPr>
      <w:rFonts w:asciiTheme="majorHAnsi" w:eastAsiaTheme="majorEastAsia" w:hAnsiTheme="majorHAnsi" w:cstheme="majorBidi" w:ascii="Aptos" w:hAnsi="Aptos" w:eastAsia="Aptos" w:cs="Aptos"/>
      <w:b w:val="0"/>
      <w:color w:val="64748B"/>
      <w:sz w:val="19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100" w:after="140" w:line="259" w:lineRule="auto"/>
      <w:ind w:firstLine="0" w:left="255" w:right="85"/>
      <w:shd w:fill="F3F7FB"/>
      <w:pBdr>
        <w:top w:val="single" w:sz="8" w:space="5" w:color="B7C8DA"/>
        <w:left w:val="single" w:sz="8" w:space="5" w:color="B7C8DA"/>
        <w:bottom w:val="single" w:sz="8" w:space="5" w:color="B7C8DA"/>
        <w:right w:val="single" w:sz="8" w:space="5" w:color="B7C8DA"/>
      </w:pBdr>
    </w:pPr>
    <w:rPr>
      <w:rFonts w:ascii="Arial" w:hAnsi="Arial" w:eastAsia="Arial" w:cs="Arial"/>
      <w:i w:val="0"/>
      <w:color w:val="3A4654"/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80" w:line="252" w:lineRule="auto"/>
    </w:pPr>
    <w:rPr>
      <w:rFonts w:ascii="Aptos" w:hAnsi="Aptos" w:eastAsia="Aptos" w:cs="Aptos"/>
      <w:color w:val="1F2937"/>
      <w:sz w:val="19"/>
    </w:rPr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0" w:after="80" w:line="252" w:lineRule="auto"/>
      <w:ind w:firstLine="0" w:left="480" w:right="480"/>
    </w:pPr>
    <w:rPr>
      <w:rFonts w:ascii="Aptos" w:hAnsi="Aptos" w:eastAsia="Aptos" w:cs="Aptos"/>
      <w:color w:val="1F2937"/>
      <w:sz w:val="19"/>
    </w:r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39"/>
    <w:qFormat/>
    <w:pPr>
      <w:spacing w:before="0" w:after="20" w:line="220" w:lineRule="auto"/>
    </w:pPr>
    <w:rPr>
      <w:rFonts w:ascii="Arial" w:hAnsi="Arial" w:cs="Arial"/>
      <w:sz w:val="16"/>
      <w:color w:val="202730"/>
    </w:rPr>
    <w:tblPr>
      <w:tblW w:w="0" w:type="auto"/>
      <w:tblInd w:w="0" w:type="dxa"/>
      <w:tblBorders>
        <w:top w:val="single" w:sz="8" w:space="0" w:color="D4DCE6"/>
        <w:left w:val="single" w:sz="8" w:space="0" w:color="D4DCE6"/>
        <w:bottom w:val="single" w:sz="8" w:space="0" w:color="D4DCE6"/>
        <w:right w:val="single" w:sz="8" w:space="0" w:color="D4DCE6"/>
        <w:insideH w:val="single" w:sz="6" w:space="0" w:color="E1E7EF"/>
        <w:insideV w:val="single" w:sz="6" w:space="0" w:color="E1E7EF"/>
      </w:tblBorders>
      <w:tblCellMar>
        <w:top w:w="70" w:type="dxa"/>
        <w:left w:w="70" w:type="dxa"/>
        <w:bottom w:w="70" w:type="dxa"/>
        <w:right w:w="70" w:type="dxa"/>
      </w:tblCellMar>
    </w:tblPr>
    <w:tblStylePr w:type="firstRow">
      <w:pPr>
        <w:spacing w:before="0" w:after="20"/>
      </w:pPr>
      <w:rPr>
        <w:b/>
        <w:color w:val="143E69"/>
        <w:sz w:val="16"/>
        <w:rFonts w:ascii="Arial" w:hAnsi="Arial" w:cs="Arial"/>
      </w:rPr>
      <w:tcPr>
        <w:shd w:val="clear" w:color="auto" w:fill="E7F0FA"/>
      </w:tcPr>
    </w:tblStylePr>
    <w:tblStylePr w:type="band1Horz">
      <w:tcPr>
        <w:shd w:val="clear" w:color="auto" w:fill="F6F8FB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before="160"/>
    </w:pPr>
    <w:rPr>
      <w:rFonts w:ascii="Aptos" w:hAnsi="Aptos" w:eastAsia="Aptos" w:cs="Aptos"/>
      <w:b/>
      <w:color w:val="0F172A"/>
      <w:sz w:val="21"/>
    </w:rPr>
  </w:style>
  <w:style w:type="paragraph" w:customStyle="1" w:styleId="Definition">
    <w:name w:val="Definition"/>
    <w:basedOn w:val="Normal"/>
    <w:pPr>
      <w:spacing w:before="0" w:after="100"/>
      <w:ind w:left="255"/>
    </w:pPr>
    <w:rPr>
      <w:rFonts w:ascii="Aptos" w:hAnsi="Aptos" w:eastAsia="Aptos" w:cs="Aptos"/>
      <w:color w:val="1F2937"/>
      <w:sz w:val="20"/>
    </w:rPr>
  </w:style>
  <w:style w:type="paragraph" w:styleId="Caption">
    <w:name w:val="Caption"/>
    <w:basedOn w:val="Normal"/>
    <w:link w:val="BodyTextChar"/>
    <w:pPr>
      <w:spacing w:before="60" w:after="160" w:line="240" w:lineRule="auto"/>
    </w:pPr>
    <w:rPr>
      <w:rFonts w:ascii="Arial" w:hAnsi="Arial" w:eastAsia="Arial" w:cs="Arial"/>
      <w:i/>
      <w:color w:val="5B6775"/>
      <w:sz w:val="18"/>
    </w:rPr>
  </w:style>
  <w:style w:type="paragraph" w:customStyle="1" w:styleId="TableCaption">
    <w:name w:val="Table Caption"/>
    <w:basedOn w:val="Normal"/>
    <w:pPr>
      <w:keepNext/>
      <w:spacing w:before="60" w:after="160" w:line="240" w:lineRule="auto"/>
    </w:pPr>
    <w:rPr>
      <w:rFonts w:ascii="Arial" w:hAnsi="Arial" w:eastAsia="Arial" w:cs="Arial"/>
      <w:i/>
      <w:color w:val="5B6775"/>
      <w:sz w:val="18"/>
    </w:rPr>
  </w:style>
  <w:style w:type="paragraph" w:customStyle="1" w:styleId="ImageCaption">
    <w:name w:val="Image Caption"/>
    <w:basedOn w:val="Normal"/>
    <w:pPr>
      <w:spacing w:before="60" w:after="160" w:line="240" w:lineRule="auto"/>
    </w:pPr>
    <w:rPr>
      <w:rFonts w:ascii="Arial" w:hAnsi="Arial" w:eastAsia="Arial" w:cs="Arial"/>
      <w:i/>
      <w:color w:val="5B6775"/>
      <w:sz w:val="18"/>
    </w:rPr>
  </w:style>
  <w:style w:type="paragraph" w:customStyle="1" w:styleId="Figure">
    <w:name w:val="Figure"/>
    <w:basedOn w:val="Normal"/>
    <w:pPr>
      <w:spacing w:before="160" w:after="80"/>
      <w:jc w:val="center"/>
    </w:pPr>
  </w:style>
  <w:style w:type="paragraph" w:customStyle="1" w:styleId="CaptionedFigure">
    <w:name w:val="Captioned Figure"/>
    <w:basedOn w:val="Normal"/>
    <w:pPr>
      <w:keepNext/>
      <w:spacing w:before="60" w:after="160" w:line="240" w:lineRule="auto"/>
      <w:jc w:val="center"/>
    </w:pPr>
    <w:rPr>
      <w:rFonts w:ascii="Arial" w:hAnsi="Arial" w:eastAsia="Arial" w:cs="Arial"/>
      <w:i/>
      <w:color w:val="5B6775"/>
      <w:sz w:val="18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color w:val="000000"/>
      <w:sz w:val="18"/>
    </w:rPr>
  </w:style>
  <w:style w:type="character" w:customStyle="1" w:styleId="SectionNumber">
    <w:name w:val="Section Number"/>
    <w:basedOn w:val="BodyTextChar"/>
    <w:rPr>
      <w:rFonts w:ascii="Aptos Display" w:hAnsi="Aptos Display" w:eastAsia="Aptos Display" w:cs="Aptos Display"/>
      <w:color w:val="18A0FB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Arial" w:hAnsi="Arial" w:eastAsia="Arial" w:cs="Arial"/>
      <w:color w:val="005BAA"/>
      <w:u w:val="single"/>
    </w:rPr>
  </w:style>
  <w:style w:type="paragraph" w:styleId="TOCHeading">
    <w:name w:val="TOC Heading"/>
    <w:basedOn w:val="Normal"/>
    <w:next w:val="BodyText"/>
    <w:uiPriority w:val="39"/>
    <w:unhideWhenUsed/>
    <w:qFormat/>
    <w:pPr>
      <w:spacing w:before="0" w:line="240" w:lineRule="auto" w:after="60"/>
      <w:outlineLvl w:val="9"/>
    </w:pPr>
    <w:rPr>
      <w:rFonts w:asciiTheme="majorHAnsi" w:eastAsiaTheme="majorEastAsia" w:hAnsiTheme="majorHAnsi" w:cstheme="majorBidi" w:ascii="Arial" w:hAnsi="Arial" w:eastAsia="Arial" w:cs="Arial"/>
      <w:b/>
      <w:bCs w:val="0"/>
      <w:color w:val="202730"/>
      <w:sz w:val="32"/>
    </w:rPr>
  </w:style>
  <w:style w:type="character" w:customStyle="1" w:styleId="SourceCode">
    <w:name w:val="Source Code"/>
    <w:rPr>
      <w:rFonts w:ascii="Consolas" w:hAnsi="Consolas" w:eastAsia="Consolas" w:cs="Consolas"/>
      <w:color w:val="6D327C"/>
      <w:sz w:val="17"/>
    </w:rPr>
  </w:style>
  <w:style w:type="paragraph" w:customStyle="1" w:styleId="CodeBlock">
    <w:name w:val="Code Block"/>
    <w:basedOn w:val="Normal"/>
    <w:pPr>
      <w:spacing w:before="80" w:after="120" w:line="240" w:lineRule="auto"/>
      <w:ind w:left="159" w:right="28"/>
      <w:shd w:fill="F5F7FA"/>
      <w:pBdr>
        <w:top w:val="single" w:sz="4" w:space="4" w:color="D5DDE6"/>
        <w:left w:val="single" w:sz="4" w:space="4" w:color="D5DDE6"/>
        <w:bottom w:val="single" w:sz="4" w:space="4" w:color="D5DDE6"/>
        <w:right w:val="single" w:sz="4" w:space="4" w:color="D5DDE6"/>
      </w:pBdr>
    </w:pPr>
    <w:rPr>
      <w:rFonts w:ascii="Consolas" w:hAnsi="Consolas" w:eastAsia="Consolas" w:cs="Consolas"/>
      <w:color w:val="1D252D"/>
      <w:sz w:val="16"/>
    </w:rPr>
  </w:style>
  <w:style w:type="paragraph" w:customStyle="1" w:styleId="ListParagraph">
    <w:name w:val="List Paragraph"/>
    <w:basedOn w:val="Normal"/>
    <w:pPr>
      <w:spacing w:before="0" w:after="60" w:line="252" w:lineRule="auto"/>
      <w:ind w:left="255"/>
    </w:pPr>
    <w:rPr>
      <w:rFonts w:ascii="Arial" w:hAnsi="Arial" w:eastAsia="Arial" w:cs="Arial"/>
      <w:color w:val="20273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