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ANNUAL REGULATORY, ESG, AND PRIVACY COMPLIANCE AUDIT</w:t>
      </w:r>
    </w:p>
    <w:p>
      <w:r>
        <w:rPr>
          <w:i/>
          <w:sz w:val="20"/>
        </w:rPr>
        <w:t>Subject Entity: Target Technologies LLC | Jurisdiction: United States &amp; European Union</w:t>
      </w:r>
    </w:p>
    <w:p>
      <w:r>
        <w:t>────────────────────────────────────────────────────────────────────────────────</w:t>
      </w:r>
    </w:p>
    <w:p>
      <w:pPr>
        <w:pStyle w:val="Heading1"/>
      </w:pPr>
      <w:r>
        <w:t>1. Data Privacy and Cybersecurity Integrity (GDPR / CCPA)</w:t>
      </w:r>
    </w:p>
    <w:p>
      <w:r>
        <w:t>During the Q2 2024 vulnerability assessment, an unencrypted database replica containing approximately 185,000 European Union customer transaction logs was exposed to the public internet for 19 days. Target Technologies LLC failed to report this incident to the Irish Data Protection Commission (DPC) within the statutory 72-hour notification window mandated under GDPR Article 33. Outside counsel estimates contingent administrative fines between €1,800,000 and €4,500,000 depending on final classification.</w:t>
      </w:r>
    </w:p>
    <w:p>
      <w:pPr>
        <w:pStyle w:val="Heading1"/>
      </w:pPr>
      <w:r>
        <w:t>2. Export Control and International Sanctions Screenings</w:t>
      </w:r>
    </w:p>
    <w:p>
      <w:r>
        <w:t>A compliance screen of downstream software distributorship agreements revealed that Target Technologies LLC indirectly licensed proprietary encryption libraries to two sub-contracting logistics firms located in prohibited jurisdictions without obtaining prerequisite BIS (Bureau of Industry and Security) export licenses. A formal Voluntary Self-Disclosure (VSD) has not yet been submitted to the Department of Commerce.</w:t>
      </w:r>
    </w:p>
    <w:p>
      <w:pPr>
        <w:pStyle w:val="Heading1"/>
      </w:pPr>
      <w:r>
        <w:t>3. Pending Material Litigation and Operational Licensing</w:t>
      </w:r>
    </w:p>
    <w:p>
      <w:r>
        <w:t>Case 24-CV-9821 (S.D.N.Y.): Ex-Chief Technology Officer v. Target Technologies LLC. Plaintiff alleges wrongful termination and trade secret misappropriation regarding core optimization patents, asserting ownership claims over the company's primary patent application #US-2023-01992. No litigation reserve has been established on the balance sheet.</w:t>
      </w:r>
    </w:p>
    <w:p>
      <w:r>
        <w:t>Operating Permits: The corporate entity has failed to renew its California Specialized Telecommunications Data License, currently operating under a 90-day grace period that expires on November 30,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