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15D44" w:sz="18" w:space="1"/>
        </w:pBdr>
        <w:spacing w:after="200"/>
      </w:pP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7B7B7B"/>
          <w:sz w:val="20"/>
          <w:szCs w:val="20"/>
        </w:rPr>
        <w:t xml:space="preserve">Applied Value</w:t>
      </w:r>
    </w:p>
    <w:p>
      <w:pPr>
        <w:spacing w:after="0"/>
        <w:jc w:val="left"/>
      </w:pPr>
      <w:r>
        <w:rPr>
          <w:rFonts w:ascii="Arial" w:cs="Arial" w:eastAsia="Arial" w:hAnsi="Arial"/>
          <w:color w:val="7B7B7B"/>
          <w:sz w:val="20"/>
          <w:szCs w:val="20"/>
        </w:rPr>
        <w:t xml:space="preserve">One Biscayne Tower  |  2 S Biscayne Blvd. Suite 1750  |  Miami, FL 33131</w:t>
      </w:r>
    </w:p>
    <w:p>
      <w:pPr>
        <w:spacing w:after="300"/>
        <w:jc w:val="left"/>
      </w:pPr>
      <w:hyperlink w:history="1" r:id="rIdso0bdj1th8mdib7iz0_m9">
        <w:r>
          <w:rPr>
            <w:rFonts w:ascii="Arial" w:cs="Arial" w:eastAsia="Arial" w:hAnsi="Arial"/>
            <w:b/>
            <w:bCs/>
            <w:color w:val="7B7B7B"/>
            <w:sz w:val="20"/>
            <w:szCs w:val="20"/>
          </w:rPr>
          <w:t xml:space="preserve">www.appliedvaluegroup.com</w:t>
        </w:r>
      </w:hyperlink>
    </w:p>
    <w:p>
      <w:pPr>
        <w:shd w:color="215D44" w:val="solid"/>
        <w:spacing w:after="0" w:before="100"/>
        <w:jc w:val="center"/>
      </w:pPr>
      <w:r>
        <w:rPr>
          <w:sz w:val="12"/>
          <w:szCs w:val="12"/>
        </w:rPr>
        <w:t xml:space="preserve">  </w:t>
      </w:r>
    </w:p>
    <w:p>
      <w:pPr>
        <w:shd w:color="215D44" w:val="solid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BUILDING MATERIALS &amp; PRODUCTS</w:t>
      </w:r>
    </w:p>
    <w:p>
      <w:pPr>
        <w:shd w:color="215D44" w:val="solid"/>
        <w:spacing w:after="0" w:before="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H1 2026 Report Prep — Postmortem &amp; Planning Packet</w:t>
      </w:r>
    </w:p>
    <w:p>
      <w:pPr>
        <w:shd w:color="215D44" w:val="solid"/>
        <w:spacing w:after="0" w:before="10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Mid-Year 2026  |  Due week of June 22–26</w:t>
      </w:r>
    </w:p>
    <w:p>
      <w:pPr>
        <w:shd w:color="215D44" w:val="solid"/>
        <w:spacing w:after="200" w:before="0"/>
        <w:jc w:val="center"/>
      </w:pPr>
      <w:r>
        <w:rPr>
          <w:sz w:val="12"/>
          <w:szCs w:val="12"/>
        </w:rPr>
        <w:t xml:space="preserve">  </w:t>
      </w:r>
    </w:p>
    <w:p>
      <w:pPr>
        <w:pBdr>
          <w:bottom w:val="single" w:color="215D44" w:sz="12" w:space="1"/>
        </w:pBdr>
        <w:spacing w:after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Working packet for the mid-year 2026 (H1 2026) Market Health Report, framed as a postmortem on the 2025 YTD report (published Nov 2025). Authors: Jacob Wozniewski, Gavin Gattuso.</w:t>
      </w:r>
    </w:p>
    <w:p>
      <w:pPr>
        <w:pBdr>
          <w:left w:val="single" w:color="215D44" w:sz="18" w:space="6"/>
        </w:pBdr>
        <w:shd w:color="E0F4EB" w:val="solid"/>
        <w:spacing w:after="160" w:before="120"/>
      </w:pPr>
      <w:r>
        <w:rPr>
          <w:rFonts w:ascii="Arial" w:cs="Arial" w:eastAsia="Arial" w:hAnsi="Arial"/>
          <w:b/>
          <w:bCs/>
          <w:color w:val="163E2D"/>
          <w:sz w:val="22"/>
          <w:szCs w:val="22"/>
        </w:rPr>
        <w:t xml:space="preserve">The one-line story: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Our directional calls were mostly right — residential weak, tariffs a real cost threat, infra resilient, M&amp;A active — but the last report missed the two storylines that came to define H1 2026: the data-center / AI-infrastructure construction boom, and the scale of the M&amp;A wave capped by Berkshire's $8.5B bet on homebuilding. And our base case of "easing takes hold → residential recovers into 2026" did not arrive on schedule; rates stayed higher and more volatile.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H1 2026 evidence is drawn from the live knowledge base (Supabase articles, 687 articles Jan–Jun 2026). Figures sourced inline; verify the ⚠ items before publication.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01 · Prediction Scorecard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forward call from the 2025 YTD report scored against H1 2026 actuals — the backbone of the new Postmortem section. Tally: 5 hit · 2 partial · 1 miss · 1 to verify.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(Nov 2025)</w:t>
            </w:r>
          </w:p>
        </w:tc>
        <w:tc>
          <w:tcPr>
            <w:tcW w:type="dxa" w:w="33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(H1 2026)</w:t>
            </w:r>
          </w:p>
        </w:tc>
        <w:tc>
          <w:tcPr>
            <w:tcW w:type="dxa" w:w="11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1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Rates ease → residential recovers (easing "takes hold," mortgage toward 6.2–6.35%).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Mortgage rates "higher and volatile" (CNBC, Jun 1); new-home sales slumped in April; recovery did not arrive on schedule.</w:t>
            </w:r>
          </w:p>
        </w:tc>
        <w:tc>
          <w:tcPr>
            <w:tcW w:type="dxa" w:w="1100"/>
            <w:shd w:color="FBE6E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322C"/>
                <w:sz w:val="20"/>
                <w:szCs w:val="20"/>
              </w:rPr>
              <w:t xml:space="preserve">MISS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the "easing → recovery" base case. Reframe 2026 as a delayed, rate-gated recovery.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Single-family demand muted into 2026.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SF starts −2.8% in April → 1.47M SAAR (NAHB/Census); $440K affordability barrier. But March +10.8%, "fastest pace in 2 years" — choppy.</w:t>
            </w:r>
          </w:p>
        </w:tc>
        <w:tc>
          <w:tcPr>
            <w:tcW w:type="dxa" w:w="1100"/>
            <w:shd w:color="FDF3D8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9A6F08"/>
                <w:sz w:val="20"/>
                <w:szCs w:val="20"/>
              </w:rPr>
              <w:t xml:space="preserve">PARTIAL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"Muted" was right; the timing of any turn was the hard part. Lead with the chop.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Tariffs the renewed cost threat — +$7,500–$10,000/home (metals 20–25%, lumber 35%).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Realized: construction PPI +3.6% YoY (largest since Jan '23); aluminum +28% YoY (50% tariff); 53% of contractors cite cost a top concern. Then mid-year partial reversal (Jun 4).</w:t>
            </w:r>
          </w:p>
        </w:tc>
        <w:tc>
          <w:tcPr>
            <w:tcW w:type="dxa" w:w="11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call. Keep front-and-center; now track the escalation → reversal whipsaw.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Nonres resilient on IIJA/CHIPS/IRA.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Nonres held — but the driver shifted to the data-center / AI-infrastructure boom (Modine $4B, Trane, JCI 1GW, Sterling), not federal programs.</w:t>
            </w:r>
          </w:p>
        </w:tc>
        <w:tc>
          <w:tcPr>
            <w:tcW w:type="dxa" w:w="1100"/>
            <w:shd w:color="FDF3D8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9A6F08"/>
                <w:sz w:val="20"/>
                <w:szCs w:val="20"/>
              </w:rPr>
              <w:t xml:space="preserve">PARTIAL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Biggest blind spot. Add a dedicated data-center thread — and a sales hook.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 stays binding; watch wage moderation.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 still a starts constraint (NAHB); ISM Services employment contracting — early loosening.</w:t>
            </w:r>
          </w:p>
        </w:tc>
        <w:tc>
          <w:tcPr>
            <w:tcW w:type="dxa" w:w="11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Keep; note "still tight, first cracks appearing."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stays restrictive for small/spec; large caps still access capital.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Held: CEMEX raised $3B revolver + $1.5B notes; consumer-credit stress (LendingTree −22%).</w:t>
            </w:r>
          </w:p>
        </w:tc>
        <w:tc>
          <w:tcPr>
            <w:tcW w:type="dxa" w:w="11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Low-change lever — compress/refresh.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GDP–sentiment gap persists; weak confidence caps discretionary demand.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Persisted — affordability still dragging sentiment and adjacent sectors.</w:t>
            </w:r>
          </w:p>
        </w:tc>
        <w:tc>
          <w:tcPr>
            <w:tcW w:type="dxa" w:w="11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Keep; refresh figures only.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M&amp;A / portfolio activity continues (+24% YoY deal size).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Accelerated — 2025 volume +30%; H1 wave: QXO/TopBuild $17B, HD/GMS $5.5B, Lowe's/FBM, Berkshire/Taylor Morrison $8.5B.</w:t>
            </w:r>
          </w:p>
        </w:tc>
        <w:tc>
          <w:tcPr>
            <w:tcW w:type="dxa" w:w="11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Promote M&amp;A to a named section + callout box.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ABI watchpoint: possible reversal of 16-month decline; backlog moderation early 2026.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yet confirmed in KB set.</w:t>
            </w:r>
          </w:p>
        </w:tc>
        <w:tc>
          <w:tcPr>
            <w:tcW w:type="dxa" w:w="1100"/>
            <w:shd w:color="ECEEE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A6B63"/>
                <w:sz w:val="20"/>
                <w:szCs w:val="20"/>
              </w:rPr>
              <w:t xml:space="preserve">VERIFY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current ABI before publication.</w:t>
            </w:r>
          </w:p>
        </w:tc>
      </w:tr>
    </w:tbl>
    <w:p>
      <w:pPr>
        <w:spacing w:after="160"/>
      </w:pPr>
    </w:p>
    <w:p>
      <w:pPr>
        <w:pBdr>
          <w:left w:val="single" w:color="215D44" w:sz="18" w:space="6"/>
        </w:pBdr>
        <w:shd w:color="E0F4EB" w:val="solid"/>
        <w:spacing w:after="160" w:before="120"/>
      </w:pPr>
      <w:r>
        <w:rPr>
          <w:rFonts w:ascii="Arial" w:cs="Arial" w:eastAsia="Arial" w:hAnsi="Arial"/>
          <w:b/>
          <w:bCs/>
          <w:color w:val="163E2D"/>
          <w:sz w:val="22"/>
          <w:szCs w:val="22"/>
        </w:rPr>
        <w:t xml:space="preserve">Honest headline for readers: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"We got the direction right on cost, labor, and consolidation. We were early on the residential recovery, and we under-weighted the single biggest demand surprise of the half — data centers."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02 · M&amp;A &amp; Strategic-Deal Digest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the report's M&amp;A callout box / "Consolidation Wave" section. The half's defining corporate story: broad consolidation across distribution, cement/aggregates, and HVAC, capped by Berkshire's vote of confidence in homebuilding.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15D44"/>
          <w:sz w:val="28"/>
          <w:szCs w:val="28"/>
        </w:rPr>
        <w:t xml:space="preserve">The headline: Berkshire's housing bet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Berkshire Hathaway → Taylor Morrison, ~$8.5B (announced May 31). All-cash, $72.50/share, ~$6.8B equity / $8.5B enterprise value, a 24% premium to the May 29 close. 350+ communities across 21 markets in 12 states.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Why it matters (sales angle): a conservative, long-horizon institution making a direct premium bet on U.S. homebuilding at a cyclical low. CNBC: the deal "suggests the housing market may have bottomed." The report's signature "smart money sees a bottom" anchor. [CNBC Jun 1; ENR Jun 3]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15D44"/>
          <w:sz w:val="28"/>
          <w:szCs w:val="28"/>
        </w:rPr>
        <w:t xml:space="preserve">Distribution mega-consolidation (the structural story)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Acquirer</w:t>
            </w:r>
          </w:p>
        </w:tc>
        <w:tc>
          <w:tcPr>
            <w:tcW w:type="dxa" w:w="18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QXO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TopBuild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3E2D"/>
                <w:sz w:val="20"/>
                <w:szCs w:val="20"/>
              </w:rPr>
              <w:t xml:space="preserve">$17B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19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Brad Jacobs' roll-up goes mega-cap; insulation/installation.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Depot (SRS)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3E2D"/>
                <w:sz w:val="20"/>
                <w:szCs w:val="20"/>
              </w:rPr>
              <w:t xml:space="preserve">$5.5B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1 (closed)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Pro-market / specialty distribution transformation.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Lowe's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FBM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3E2D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Lowe's pushes into pro distribution (vs. HD/GMS).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QXO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Kodiak Building Partners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3E2D"/>
                <w:sz w:val="20"/>
                <w:szCs w:val="20"/>
              </w:rPr>
              <w:t xml:space="preserve">$2.25B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 (closed)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Plus $1.8B raise + Apollo-led $1.2B for the deal war chest.</w:t>
            </w:r>
          </w:p>
        </w:tc>
      </w:tr>
    </w:tbl>
    <w:p>
      <w:pPr>
        <w:spacing w:after="120"/>
      </w:pPr>
    </w:p>
    <w:p>
      <w:pPr>
        <w:pBdr>
          <w:left w:val="single" w:color="215D44" w:sz="18" w:space="6"/>
        </w:pBdr>
        <w:shd w:color="E0F4EB" w:val="solid"/>
        <w:spacing w:after="160" w:before="120"/>
      </w:pPr>
      <w:r>
        <w:rPr>
          <w:rFonts w:ascii="Arial" w:cs="Arial" w:eastAsia="Arial" w:hAnsi="Arial"/>
          <w:b/>
          <w:bCs/>
          <w:color w:val="163E2D"/>
          <w:sz w:val="22"/>
          <w:szCs w:val="22"/>
        </w:rPr>
        <w:t xml:space="preserve">Why it matters: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Building-products distribution is consolidating into a handful of national pros (QXO, HD/SRS, Lowe's). Procurement leverage, pricing power, and supplier relationships are all shifting — a direct strategic question for every manufacturer client.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15D44"/>
          <w:sz w:val="28"/>
          <w:szCs w:val="28"/>
        </w:rPr>
        <w:t xml:space="preserve">Cement, aggregates &amp; materials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Holcim — completed $1.5B Cementos Pacasmayo stake (Mar 31); plan for 15 acquisitions in 2026; primary buyer of CEMEX Colombia ($555M).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CEMEX — divested Colombia ($555M) &amp; Panama (~$200M); U.S. aggregates pivot.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Martin Marietta — Quikrete asset exchange: divested cement, +20M tons aggregates (Feb 23).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Heidelberg Materials — AUD 1.7B Maas Group, Australia (Feb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Vulcan Materials — signaled active 2026 M&amp;A year (Feb 17). Taiheiyo/CalPortland — Tokuyama (JPY 37B); Vulcan ready-mix deal delayed on DOJ scrutiny.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15D44"/>
          <w:sz w:val="28"/>
          <w:szCs w:val="28"/>
        </w:rPr>
        <w:t xml:space="preserve">HVAC / data-center thermal (ties into the data-center thread)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Trane — completed LiquidStack (liquid cooling, Mar 3). Johnson Controls — Alloy Enterprises; guiding 1GW data-center thermal. Modine — $4B capacity deal through 2029. Kingspan — Brazil's Multiway (Jan 29).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15D44"/>
          <w:sz w:val="28"/>
          <w:szCs w:val="28"/>
        </w:rPr>
        <w:t xml:space="preserve">Other strategic moves &amp; market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ASSA ABLOY (Sennco), Saint-Gobain (Grouttech), Wienerberger (Italcer), Weyerhaeuser ($459M timberland / $410M+ divestitures).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Warren Buffett / Berkshire — Nucor stake amid tariff uncertainty (Feb 14). Second Berkshire building-materials signal — pairs with Taylor Morrison.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Context: building-products M&amp;A "poised for growth in 2026" on +30% 2025 deal volume (BGL). Corroborated by Capstone, PwC, FMI outlooks.</w:t>
      </w:r>
    </w:p>
    <w:p>
      <w:pPr>
        <w:pBdr>
          <w:left w:val="single" w:color="215D44" w:sz="18" w:space="6"/>
        </w:pBdr>
        <w:shd w:color="E0F4EB" w:val="solid"/>
        <w:spacing w:after="160" w:before="120"/>
      </w:pPr>
      <w:r>
        <w:rPr>
          <w:rFonts w:ascii="Arial" w:cs="Arial" w:eastAsia="Arial" w:hAnsi="Arial"/>
          <w:b/>
          <w:bCs/>
          <w:color w:val="163E2D"/>
          <w:sz w:val="22"/>
          <w:szCs w:val="22"/>
        </w:rPr>
        <w:t xml:space="preserve">Suggested callout-box framing (sales hook):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Consolidation is rewriting the competitive map — in distribution especially. When a buyer like Berkshire pays a 24% premium for a homebuilder at a cyclical low, and three national pros race to roll up distribution, the questions for our clients are immediate: Where does this leave your procurement leverage? Your channel access? Your own buy-vs-build calculus? Applied Value has supported [X] integrations and portfolio reviews in this sector.</w:t>
      </w:r>
    </w:p>
    <w:p>
      <w:pPr>
        <w:pBdr>
          <w:left w:val="single" w:color="B5820A" w:sz="18" w:space="6"/>
        </w:pBdr>
        <w:shd w:color="FDF3D8" w:val="solid"/>
        <w:spacing w:after="160" w:before="100"/>
      </w:pPr>
      <w:r>
        <w:rPr>
          <w:rFonts w:ascii="Arial" w:cs="Arial" w:eastAsia="Arial" w:hAnsi="Arial"/>
          <w:color w:val="7A5A07"/>
          <w:sz w:val="21"/>
          <w:szCs w:val="21"/>
        </w:rPr>
        <w:t xml:space="preserve">⚠  Verify before publication: close vs. announce status on QXO/TopBuild, Lowe's/FBM, and Berkshire/Taylor Morrison (announced May 31, may still be pending).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03 · Lever-by-Lever Delta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of the 7 drivers: what the last report said → what the KB recorded → refresh vs. net-new call. Answers the kickoff's "did the big levers change?"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22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Said (Nov 2025)</w:t>
            </w:r>
          </w:p>
        </w:tc>
        <w:tc>
          <w:tcPr>
            <w:tcW w:type="dxa" w:w="27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(H1 2026)</w:t>
            </w:r>
          </w:p>
        </w:tc>
        <w:tc>
          <w:tcPr>
            <w:tcW w:type="dxa" w:w="9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8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Editing call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Rates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Easing → 2026 residential recovery.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"Higher and volatile"; recovery didn't arrive; new-home sales slumped.</w:t>
            </w:r>
          </w:p>
        </w:tc>
        <w:tc>
          <w:tcPr>
            <w:tcW w:type="dxa" w:w="900"/>
            <w:shd w:color="FBE6E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322C"/>
                <w:sz w:val="20"/>
                <w:szCs w:val="20"/>
              </w:rPr>
              <w:t xml:space="preserve">MISS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Net-new — rewrite around volatility &amp; delayed recovery.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Labor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Shortages + wage inflation; watch moderation.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Still a constraint; ISM employment contracting (first loosening).</w:t>
            </w:r>
          </w:p>
        </w:tc>
        <w:tc>
          <w:tcPr>
            <w:tcW w:type="dxa" w:w="9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+ add "first cracks."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Material Costs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but tariffs a renewed threat.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Tariffs realized — PPI +3.6%, aluminum +28%; then mid-year reversal.</w:t>
            </w:r>
          </w:p>
        </w:tc>
        <w:tc>
          <w:tcPr>
            <w:tcW w:type="dxa" w:w="9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Net-new (lead) — track the whipsaw.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Demand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muted; nonres solid on backlogs.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choppy; nonres engine = data centers, not federal programs.</w:t>
            </w:r>
          </w:p>
        </w:tc>
        <w:tc>
          <w:tcPr>
            <w:tcW w:type="dxa" w:w="900"/>
            <w:shd w:color="FDF3D8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9A6F08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Net-new — split residential / data-center nonres.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Infrastructure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 on IIJA/CHIPS/IRA durability.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floor intact, but private data-center capex eclipsed it.</w:t>
            </w:r>
          </w:p>
        </w:tc>
        <w:tc>
          <w:tcPr>
            <w:tcW w:type="dxa" w:w="9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+ reframe (floor vs. growth engine).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Credit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Restrictive; large caps still access capital.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 — CEMEX raised freely; consumer-credit stress.</w:t>
            </w:r>
          </w:p>
        </w:tc>
        <w:tc>
          <w:tcPr>
            <w:tcW w:type="dxa" w:w="9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(compress — lowest change).</w:t>
            </w:r>
          </w:p>
        </w:tc>
      </w:tr>
      <w:tr>
        <w:tc>
          <w:tcPr>
            <w:tcW w:type="dxa" w:w="1400"/>
            <w:shd w:color="328D6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GDP / Sentiment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GDP–sentiment gap; weak confidence.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Divergence persisted; affordability dragging.</w:t>
            </w:r>
          </w:p>
        </w:tc>
        <w:tc>
          <w:tcPr>
            <w:tcW w:type="dxa" w:w="900"/>
            <w:shd w:color="E3F5E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HIT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figures; keep analysis box.</w:t>
            </w:r>
          </w:p>
        </w:tc>
      </w:tr>
    </w:tbl>
    <w:p>
      <w:pPr>
        <w:spacing w:after="160"/>
      </w:pPr>
    </w:p>
    <w:p>
      <w:pPr>
        <w:pBdr>
          <w:left w:val="single" w:color="215D44" w:sz="18" w:space="6"/>
        </w:pBdr>
        <w:shd w:color="E0F4EB" w:val="solid"/>
        <w:spacing w:after="160" w:before="120"/>
      </w:pPr>
      <w:r>
        <w:rPr>
          <w:rFonts w:ascii="Arial" w:cs="Arial" w:eastAsia="Arial" w:hAnsi="Arial"/>
          <w:b/>
          <w:bCs/>
          <w:color w:val="163E2D"/>
          <w:sz w:val="22"/>
          <w:szCs w:val="22"/>
        </w:rPr>
        <w:t xml:space="preserve">Refresh vs. net-new (workflow guidance):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Net-new effort concentrates on 3 levers — Rates, Material Costs, Demand. The other 4 are refreshes. The tool's "refresh vs. net-new" workflow should prioritize regenerating those three.</w:t>
      </w:r>
    </w:p>
    <w:p>
      <w:pPr>
        <w:pBdr>
          <w:left w:val="single" w:color="B5820A" w:sz="18" w:space="6"/>
        </w:pBdr>
        <w:shd w:color="FDF3D8" w:val="solid"/>
        <w:spacing w:after="160" w:before="100"/>
      </w:pPr>
      <w:r>
        <w:rPr>
          <w:rFonts w:ascii="Arial" w:cs="Arial" w:eastAsia="Arial" w:hAnsi="Arial"/>
          <w:color w:val="7A5A07"/>
          <w:sz w:val="21"/>
          <w:szCs w:val="21"/>
        </w:rPr>
        <w:t xml:space="preserve">⚠  Verify before publication: current Fed funds + 30-yr mortgage; latest PPI/lumber/steel/aluminum + tariff-reversal status; latest starts/permits + current ABI; latest GDP print + U-Mich sentiment.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04 · H1 2026 Report Outline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Keeps the proven 9-section skeleton; bold = changed/new. Tagged KEEP / REFRESH / NET-NEW.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shd w:color="163E2D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 this edition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 &amp; Executive Summary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REFRESH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lead framing: report-card teaser + new themes (data centers, consolidation, tariff whipsaw).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Scope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KEEP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market-sizing figures. Low effort.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Context &amp; Outlook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REFRESH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"H1 2026 Summary" + forward outlook for H2 2026 carrying the postmortem lessons.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Drivers of Market Health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REFRESH + NET-NEW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Net-new: Rates, Costs, Demand. Refresh: Labor, Infra, Credit, GDP.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Data-Center &amp; AI-Infrastructure Demand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NET-NEW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half's biggest demand surprise + top sales hook. May be a sub-section of Demand.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Consolidation Wave (M&amp;A)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NET-NEW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Promote to named section + callout box. Content ready in Digest 02.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Company Performance Snapshot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REFRESH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H1 2026 charts. ⚠ Cap IQ wiring pending — resolve or footnote the period.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Postmortem / Trend Continuity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NET-NEW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Marquee change: promote to the full scorecard table from 01. Makes the report interactive for repeat readers.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Applied Value Can Help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REFRESH + CASES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mini case-study callouts. ⚠ Owner input: real AV engagement examples.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Appendix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15D44"/>
                <w:sz w:val="20"/>
                <w:szCs w:val="20"/>
              </w:rPr>
              <w:t xml:space="preserve">KEEP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 quarter-in-review + update report-roster/contacts.</w:t>
            </w:r>
          </w:p>
        </w:tc>
      </w:tr>
    </w:tbl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15D44"/>
          <w:sz w:val="28"/>
          <w:szCs w:val="28"/>
        </w:rPr>
        <w:t xml:space="preserve">Build order (2-week runway)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This week — block-text draft (don't wait on the tool): Postmortem (§8) + M&amp;A (§6) first, then the 3 net-new driver writeups (§4).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Parallel — tool/data: resolve §7 financial-data dependency; pull the ⚠ verification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Owner inputs early: AV case-study examples (§9); structure sign-off (9 sections + 2 new).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Late: Market Scope / Exec Summary refresh, charts, formatting pass.</w:t>
      </w:r>
    </w:p>
    <w:p>
      <w:pPr>
        <w:pBdr>
          <w:left w:val="single" w:color="215D44" w:sz="18" w:space="6"/>
        </w:pBdr>
        <w:shd w:color="E0F4EB" w:val="solid"/>
        <w:spacing w:after="160" w:before="120"/>
      </w:pPr>
      <w:r>
        <w:rPr>
          <w:rFonts w:ascii="Arial" w:cs="Arial" w:eastAsia="Arial" w:hAnsi="Arial"/>
          <w:b/>
          <w:bCs/>
          <w:color w:val="163E2D"/>
          <w:sz w:val="22"/>
          <w:szCs w:val="22"/>
        </w:rPr>
        <w:t xml:space="preserve">Open decisions for you + Jacob: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§5 Data Centers — standalone section vs. sub-section of Demand? · §7 — wire Cap IQ now, or footnote the period and ship? · Author line — include Alex Schneider again?</w:t>
      </w:r>
    </w:p>
    <w:p>
      <w:pPr>
        <w:pBdr>
          <w:top w:val="single" w:color="215D44" w:sz="6" w:space="1"/>
        </w:pBdr>
        <w:spacing w:before="4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7B7B7B"/>
          <w:sz w:val="20"/>
          <w:szCs w:val="20"/>
        </w:rPr>
        <w:t xml:space="preserve">Compiled by Jarvis AI — Building Materials &amp; Building Products Monitor</w:t>
      </w:r>
    </w:p>
    <w:p>
      <w:pPr>
        <w:jc w:val="center"/>
      </w:pPr>
      <w:r>
        <w:rPr>
          <w:rFonts w:ascii="Arial" w:cs="Arial" w:eastAsia="Arial" w:hAnsi="Arial"/>
          <w:i/>
          <w:iCs/>
          <w:color w:val="7B7B7B"/>
          <w:sz w:val="18"/>
          <w:szCs w:val="18"/>
        </w:rPr>
        <w:t xml:space="preserve">Applied Value  |  www.appliedvaluegroup.com</w:t>
      </w:r>
    </w:p>
    <w:sectPr>
      <w:headerReference w:type="default" r:id="rId7"/>
      <w:footerReference w:type="default" r:id="rId8"/>
      <w:pgSz w:w="11906" w:h="16838" w:orient="portrait"/>
      <w:pgMar w:top="1100" w:right="1000" w:bottom="1100" w:left="10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B7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B7B7B"/>
        <w:sz w:val="16"/>
        <w:szCs w:val="16"/>
      </w:rPr>
      <w:t xml:space="preserve">Applied Value — Building Materials &amp; Products · H1 2026 Report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o0bdj1th8mdib7iz0_m9" Type="http://schemas.openxmlformats.org/officeDocument/2006/relationships/hyperlink" Target="https://www.appliedvaluegroup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2026-06-09T19:55:10.363Z</dcterms:created>
  <dcterms:modified xsi:type="dcterms:W3CDTF">2026-06-09T19:55:10.365Z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