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qczmynihgoxammo90nlmm">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Mortgage rates stayed in the low-6% range but volatile, and the easing-into-recovery path did not arrive on schedule.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is gated by power, grid, and permitting; only ~5 of the ~16 GW of planned 2026 U.S. capacity is on track to energize this year, tying much of the sector's growth to one capital- and power-intensive source.</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w:t>
      </w:r>
    </w:p>
    <w:p>
      <w:pPr>
        <w:spacing w:after="120"/>
      </w:pPr>
      <w:r>
        <w:rPr>
          <w:rFonts w:ascii="Arial" w:cs="Arial" w:eastAsia="Arial" w:hAnsi="Arial"/>
          <w:sz w:val="24"/>
          <w:szCs w:val="24"/>
        </w:rPr>
        <w:t xml:space="preserve">The global construction market these companies serve is on track for roughly $17.3 trillion in 2026, up from $16.5 trillion in 2025, with Asia-Pacific the largest region. The U.S. is the second-largest market: construction spending ran at a $2.17 trillion seasonally adjusted annual rate in April 2026, up 0.9% year-over-year (U.S. Census Bureau), with residential near $910 billion and nonresidential near $730 billion. The growth is modest and mostly price rather than volume, and the split inside the total is the real story — nonresidential held up on private data-center capital spending rather than the federal programs we emphasized last edition, while residential stayed weak under affordability and financing pressure.</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still coming, just later — and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30-yr fixed volatile in the low-6s (6.46% to 6.20% to 6.36%); recovery slipped.</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through the spring, and the 30-year fixed mortgage stayed in the low-6% range but volatile: it climbed for five straight weeks to 6.46% in early April, fell to 6.20% within days, then edged back to 6.36%. Our last base case — easing “takes hold,” mortgage toward 6.2–6.35%, residential recovering in 2026 — did not play out on schedule, and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Reframe the rate outlook around volatility and a delayed, rate-gated recovery,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 manufacturer facing elevated commodity volatility,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 anonymized)</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genuine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construction wave driven by AI data centers. We under-weighted it last edition. This half it became the dominant driver of nonresidential demand and pulled through nearly every tracked segment.</w:t>
      </w:r>
    </w:p>
    <w:p>
      <w:pPr>
        <w:spacing w:after="120"/>
      </w:pPr>
      <w:r>
        <w:rPr>
          <w:rFonts w:ascii="Arial" w:cs="Arial" w:eastAsia="Arial" w:hAnsi="Arial"/>
          <w:sz w:val="24"/>
          <w:szCs w:val="24"/>
        </w:rPr>
        <w:t xml:space="preserve">In thermal management and HVAC, Modine signed a landmark $4 billion long-term capacity agreement through 2029; Trane completed its acquisition of liquid-cooling specialist LiquidStack; Johnson Controls guided to roughly 1GW of data-center thermal demand and launched a 3.5MW-class YORK unit; Carrier introduced its AquaEdge chiller; and AAON cited a $1 billion data-center opportunity. In construction and engineering, Sterling Infrastructure emerged as a pure-play data-center builder. In envelope, coatings, and finishes, Sherwin-Williams positioned itself as the single coatings partner for data-center construction, USG formed an alliance with Subzero Engineering, and Kingspan expanded internationally. The pipeline is global and deep, from West Texas and DFW to the Nordics and APAC.</w:t>
      </w:r>
    </w:p>
    <w:p>
      <w:pPr>
        <w:spacing w:after="120"/>
      </w:pPr>
      <w:r>
        <w:rPr>
          <w:rFonts w:ascii="Arial" w:cs="Arial" w:eastAsia="Arial" w:hAnsi="Arial"/>
          <w:sz w:val="24"/>
          <w:szCs w:val="24"/>
        </w:rPr>
        <w:t xml:space="preserve">Demand is not the constraint; deliverable capacity is. Global hyperscaler capex is set to top $700 billion in 2026, and the Americas pipeline reached 25.3 GW under construction at the end of 2025, 89% of it pre-committed. Yet of the ~16 GW of U.S. capacity planned for 2026, only about 5 GW is on track to energize this year. Power is now the top build constraint: high-voltage transformers run roughly four years out, grid-interconnection queues stretch five to seven years against 12-18-month build times, and behind-the-meter generation has become standard rather than a hedge. Permitting and labor gate the rest: $156 billion of projects were blocked or delayed by local opposition in 2025 (Texas SB 6, Virginia HB 507, and moratoriums from Ohio to Maine), and contractor backlogs have tripled to roughly ten months amid a ~440K-worker shortage led by electricians. On cooling, a $15 billion-plus M&amp;A wave (Eaton-Boyd, Trane-LiquidStack, Ecolab-CoolIT) is finally adding capacity as liquid-cooling adoption climbs from 22% to about 40%. These figures track Applied Value's H1 2026 US Data Center Supply Chain Report, which maps the constraint layer by layer.</w:t>
      </w:r>
    </w:p>
    <w:p>
      <w:pPr>
        <w:pBdr>
          <w:left w:val="single" w:color="215D44" w:sz="18" w:space="6"/>
        </w:pBdr>
        <w:shd w:color="E0F4EB" w:val="solid"/>
        <w:spacing w:after="160" w:before="120"/>
      </w:pPr>
      <w:r>
        <w:rPr>
          <w:rFonts w:ascii="Arial" w:cs="Arial" w:eastAsia="Arial" w:hAnsi="Arial"/>
          <w:b/>
          <w:bCs/>
          <w:color w:val="163E2D"/>
          <w:sz w:val="22"/>
          <w:szCs w:val="22"/>
        </w:rPr>
        <w:t xml:space="preserve">For our clients:  </w:t>
      </w:r>
      <w:r>
        <w:rPr>
          <w:rFonts w:ascii="Arial" w:cs="Arial" w:eastAsia="Arial" w:hAnsi="Arial"/>
          <w:i/>
          <w:iCs/>
          <w:sz w:val="22"/>
          <w:szCs w:val="22"/>
        </w:rPr>
        <w:t xml:space="preserve">data-center demand is the cleanest growth opportunity in the sector, but it is gated by power, grid, permitting, and labor, not by capital. The pull-through into HVAC, electrical, structural, and finishing products is real; its timing depends on what can actually get energized. The winners are tied to the unlocking layers (power and electrical equipment, prefabrication, and cooling) and can plan around multi-year power and permitting timelines. It remains a concentrated bet on one capital- and power-intensive source.</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capturing a new growth segment.  </w:t>
      </w:r>
      <w:r>
        <w:rPr>
          <w:rFonts w:ascii="Arial" w:cs="Arial" w:eastAsia="Arial" w:hAnsi="Arial"/>
          <w:sz w:val="21"/>
          <w:szCs w:val="21"/>
        </w:rPr>
        <w:t xml:space="preserve">For a building-products manufacturer targeting a new, higher-value end-user segment, AV built a go-to-market strategy segment-by-segment: mapping the buying center, criteria, and process; defining the sales-rep profile and value-added support model; and producing a sized market-opportunity assessment and roll-out plan. The same playbook applies directly to capturing data-center demand: identify the highest-value programs, then build the commercial readiness to win them.</w:t>
      </w:r>
      <w:r>
        <w:rPr>
          <w:rFonts w:ascii="Arial" w:cs="Arial" w:eastAsia="Arial" w:hAnsi="Arial"/>
          <w:i/>
          <w:iCs/>
          <w:color w:val="7B7B7B"/>
          <w:sz w:val="18"/>
          <w:szCs w:val="18"/>
        </w:rPr>
        <w:t xml:space="preserve">  (real AV engagement, anonymized)</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(confirm client-disclosure permission before naming)</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anonymized)</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higher and volatile; recovery slipped</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Plan residential off rate volatility, not Fed-cut timing; hold capacity for a later, sharper rebound rather than a smooth 2026 ramp.</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direction was right and the timing was the hard part; size capacity to choppy demand, not a recovery curve.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Model tariffs in both directions and build the swing into cost and pricing plans; the planning risk is policy volatility, not the price level.</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engine changed; reweight commercial exposure toward data-center pull-through, with federal programs as the floor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the binding constraint on delivery; keep investing in prefab and labor-saving products, and watch the first wage relief as labor loosens.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Scale and balance-sheet strength stay the dividing line; well-capitalized players keep the edge in financing and a consolidating market.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Headline GDP overstates ground-level demand; weight order books, permits, and confidence over the top-line print when planning.</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Consolidation is reshaping procurement leverage and channel access; revisit buy-vs-build and supplier strategy now, not after the next deal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Billings bottomed but have not turned; treat commercial recovery as unconfirmed and gate capacity on an ABI cross back above 50.</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We don't pretend to have a crystal ball, and neither does anyone else forecasting this market. That is why operators benefit from an advisor who revisits the call, learns from it, and adjusts.</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New-segment growth capture (see §5) — go-to-market strategy by end-user segment for a building-products manufacturer; sized market opportunity and roll-out plan.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fact-based supplier negotiations for a PE-owned industrial; &gt;20% price reduction.</w:t>
      </w:r>
    </w:p>
    <w:p>
      <w:pPr>
        <w:pBdr>
          <w:left w:val="single" w:color="215D44" w:sz="18" w:space="6"/>
        </w:pBdr>
        <w:shd w:color="E0F4EB" w:val="solid"/>
        <w:spacing w:after="160" w:before="120"/>
      </w:pPr>
      <w:r>
        <w:rPr>
          <w:rFonts w:ascii="Arial" w:cs="Arial" w:eastAsia="Arial" w:hAnsi="Arial"/>
          <w:b/>
          <w:bCs/>
          <w:color w:val="163E2D"/>
          <w:sz w:val="22"/>
          <w:szCs w:val="22"/>
        </w:rPr>
        <w:t xml:space="preserve">Note:  </w:t>
      </w:r>
      <w:r>
        <w:rPr>
          <w:rFonts w:ascii="Arial" w:cs="Arial" w:eastAsia="Arial" w:hAnsi="Arial"/>
          <w:i/>
          <w:iCs/>
          <w:sz w:val="22"/>
          <w:szCs w:val="22"/>
        </w:rPr>
        <w:t xml:space="preserve">The engagements above are real Applied Value cases from the AV case-study database, anonymized where required. Confirm client-disclosure permissions (for example, naming Heidelberg Materials) and final figures before publication.</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czmynihgoxammo90nlmm"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2026-06-15T14:01:23.769Z</dcterms:created>
  <dcterms:modified xsi:type="dcterms:W3CDTF">2026-06-15T14:01:23.769Z</dcterms:modified>
</cp:coreProperties>
</file>

<file path=docProps/custom.xml><?xml version="1.0" encoding="utf-8"?>
<Properties xmlns="http://schemas.openxmlformats.org/officeDocument/2006/custom-properties" xmlns:vt="http://schemas.openxmlformats.org/officeDocument/2006/docPropsVTypes"/>
</file>