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dvjaiw27r6zvlmx41-jor">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 and may now reverse. Mortgage rates stayed in the low-6% range but volatile, and the Fed's June 17 hold came with a hawkish turn under new chair Kevin Warsh; the easing-into-recovery path did not arrive, and relief now looks like a 2027 story.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and the Fed's hawkish June 17 hold, with a dot plot now tilted toward a hike, means the base case is no longer “later this year” but 2027, with a real chance rates rise before they fall;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(4th hold Jun 17), then turned hawkish — hike now likelier than cut; 30-yr fixed volatile in the low-6s (6.46% to 6.20% to 6.36%).</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across the half — a March 18 hold, then a unanimous 12–0 hold on June 17, the fourth in a row. The June meeting changed the tone, not the rate: Kevin Warsh's first as chairman turned hawkish — forward guidance dropped, the end-2026 inflation projection raised to 3.6%, and the dot-plot median for the end-2026 funds rate lifted to roughly 3.6–4.1%, with nine of 18 participants now projecting a hike rather than a cut. The 30-year fixed mortgage stayed in the low-6% range but volatile: it climbed for five straight weeks to 6.46% in early April, fell to 6.20% within days, then edged back to 6.36%. Our last base case — easing “takes hold,” mortgage toward 6.2–6.35%, residential recovering in 2026 — did not play out, and the June decision pushes relief further out;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rate story has flipped from delayed easing to a credible hike risk. Plan residential off a 2027 recovery, not a back-half-2026 one,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Array Technologies,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Names Array Technologies (client match tentative). Before external release, confirm client-disclosure permission or anonymize (e.g., "a steel-intensive equipment manufacturer"). The $79–114/ST and ±$26M figures are not yet traced to a source deck — verify before use. Internal review draft only.</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AI data-center build-out, the dominant driver of nonresidential demand this half and one we under-weighted last edition. It pulls through the full building-materials stack: aggregates, cement, and structural steel for the shell and foundations; electrical gear, power equipment, and HVAC/liquid-cooling for the fit-out; and insulation, coatings, and panels for the envelope.</w:t>
      </w:r>
    </w:p>
    <w:p>
      <w:pPr>
        <w:spacing w:after="120"/>
      </w:pPr>
      <w:r>
        <w:rPr>
          <w:rFonts w:ascii="Arial" w:cs="Arial" w:eastAsia="Arial" w:hAnsi="Arial"/>
          <w:sz w:val="24"/>
          <w:szCs w:val="24"/>
        </w:rPr>
        <w:t xml:space="preserve">The signals ran across our coverage: Trane and Johnson Controls scaling data-center thermal lines, Carrier and AAON chasing the cooling load, Sterling Infrastructure repositioning as a pure-play data-center builder, and Sherwin-Williams, USG, and Kingspan tying finishes and envelope to a pipeline that now runs from West Texas and DFW to the Nordics and APAC.</w:t>
      </w:r>
    </w:p>
    <w:p>
      <w:pPr>
        <w:spacing w:after="120"/>
      </w:pPr>
      <w:r>
        <w:rPr>
          <w:rFonts w:ascii="Arial" w:cs="Arial" w:eastAsia="Arial" w:hAnsi="Arial"/>
          <w:sz w:val="24"/>
          <w:szCs w:val="24"/>
        </w:rPr>
        <w:t xml:space="preserve">Demand is not the constraint; deliverable capacity is - and the bottlenecks sit in the construction path. Of the ~16 GW of U.S. capacity planned for 2026, only about 5 GW is on track to energize this year, against a 25.3 GW Americas pipeline (89% pre-committed) and $700 billion of global hyperscaler capex. Power leads: high-voltage transformers run roughly four years out (about 80% imported, against a ~30% U.S. supply deficit through 2027), grid-interconnection queues stretch five to seven years against 12-18-month build times, and behind-the-meter generation is now standard - pushing power-equipment backlogs to records (Caterpillar's engine backlog reached $63 billion, up 79% year-over-year; GE Vernova is sold out of gas turbines through 2030). Permitting and construction labor gate the rest: $156 billion of projects were blocked or delayed across 2025 and Q1 2026 (Texas SB 6, Virginia HB 507), and contractor backlogs have tripled to roughly ten months amid a ~440K-worker shortage led by electricians - roughly $14 million of lost revenue for every month a 60 MW site slips. On cooling, a $15 billion-plus M&amp;A wave (Eaton-Boyd $9.5 billion, Ecolab-CoolIT $4.75 billion) is adding capacity as liquid-cooling adoption climbs from 22% to about 40%. These figures track Applied Value's H1 2026 US Data Center Supply Chain Report.</w:t>
      </w:r>
    </w:p>
    <w:p>
      <w:pPr>
        <w:pBdr>
          <w:left w:val="single" w:color="215D44" w:sz="18" w:space="6"/>
        </w:pBdr>
        <w:shd w:color="E0F4EB" w:val="solid"/>
        <w:spacing w:after="160" w:before="120"/>
      </w:pPr>
      <w:r>
        <w:rPr>
          <w:rFonts w:ascii="Arial" w:cs="Arial" w:eastAsia="Arial" w:hAnsi="Arial"/>
          <w:b/>
          <w:bCs/>
          <w:color w:val="163E2D"/>
          <w:sz w:val="22"/>
          <w:szCs w:val="22"/>
        </w:rPr>
        <w:t xml:space="preserve">What it means 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structural steel, concrete, electrical and power equipment, cooling, and envelope products is real, but paced by what can actually be energized. The winners are suppliers in the bottleneck-clearing layers (power and electrical equipment, prefab, and cooling) that can plan around multi-year power and permitting timelines. It remains a concentrated bet on one capital- and power-intensive source.</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(real AV engagement — see anonymization flag below)</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This section names real clients — Heidelberg Materials (procurement leverage) and Piab (post-deal value creation). Do not distribute externally until client-disclosure permission is confirmed; otherwise anonymize (e.g., "a top-three global cement producer"). Also verify the Heidelberg figures: source decks show $5.75M/$6.0M variants, not the $2.8M/$7.5M/$150.9M shown here. Internal review draft only.</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Piab,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(IT-vendor outsourcing negotiation))</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all half (4th hold Jun 17); Fed turned hawkish, hike now likelier than cut</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the recovery is now a 2027 case, so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No one forecasting this market has a crystal ball. That is why operators benefit from an advisor who revisits the call and adjusts when it's wrong.</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Array Technologies;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Piab; fact-based supplier negotiations for a PE-owned industrial; &gt;20% price reduction.</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All three case studies above name real clients — Array Technologies (§4), Heidelberg Materials (§6), and Piab (§6). Anonymize every one before any external release (confirm client-disclosure permission or use a sector descriptor). Two items still need verification: the Heidelberg figures ($2.8M/$7.5M/$150.9M — source decks show $5.75M/$6.0M variants) and the steel figures ($79–114/ST, ±$26M — not yet traced to a source deck; Array Technologies is a tentative match). Internal review draft only.</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vjaiw27r6zvlmx41-jor"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2026-06-18T18:27:42.456Z</dcterms:created>
  <dcterms:modified xsi:type="dcterms:W3CDTF">2026-06-18T18:27:42.457Z</dcterms:modified>
</cp:coreProperties>
</file>

<file path=docProps/custom.xml><?xml version="1.0" encoding="utf-8"?>
<Properties xmlns="http://schemas.openxmlformats.org/officeDocument/2006/custom-properties" xmlns:vt="http://schemas.openxmlformats.org/officeDocument/2006/docPropsVTypes"/>
</file>