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qnfaffbpfdo4kptpqzgqr">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Mortgage rates stayed in the low-6% range but volatile, and the easing-into-recovery path did not arrive on schedule.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ties much of the sector's growth to one source that is constrained by capital, power, and local politics.</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 [Refresh top-line global/U.S. construction market-size figures from a current source before publication.]</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still coming, just later — and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30-yr fixed volatile in the low-6s (6.46% to 6.20% to 6.36%); recovery slipped.</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through the spring, and the 30-year fixed mortgage stayed in the low-6% range but volatile: it climbed for five straight weeks to 6.46% in early April, fell to 6.20% within days, then edged back to 6.36%. Our last base case — easing “takes hold,” mortgage toward 6.2–6.35%, residential recovering in 2026 — did not play out on schedule, and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Reframe the rate outlook around volatility and a delayed, rate-gated recovery,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 manufacturer facing elevated commodity volatility,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 anonymized)</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genuine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construction wave driven by AI data centers. We under-weighted it last edition. This half it became the dominant driver of nonresidential demand and pulled through nearly every tracked segment.</w:t>
      </w:r>
    </w:p>
    <w:p>
      <w:pPr>
        <w:spacing w:after="120"/>
      </w:pPr>
      <w:r>
        <w:rPr>
          <w:rFonts w:ascii="Arial" w:cs="Arial" w:eastAsia="Arial" w:hAnsi="Arial"/>
          <w:sz w:val="24"/>
          <w:szCs w:val="24"/>
        </w:rPr>
        <w:t xml:space="preserve">In thermal management and HVAC, Modine signed a landmark $4 billion long-term capacity agreement through 2029; Trane completed its acquisition of liquid-cooling specialist LiquidStack; Johnson Controls guided to roughly 1GW of data-center thermal demand and launched a 3.5MW-class YORK unit; Carrier introduced its AquaEdge chiller; and AAON cited a $1 billion data-center opportunity. In construction and engineering, Sterling Infrastructure emerged as a pure-play data-center builder. In envelope, coatings, and finishes, Sherwin-Williams positioned itself as the single coatings partner for data-center construction, USG formed an alliance with Subzero Engineering, and Kingspan expanded internationally. The pipeline is global and deep, from West Texas and DFW to the Nordics and APAC.</w:t>
      </w:r>
    </w:p>
    <w:p>
      <w:pPr>
        <w:spacing w:after="120"/>
      </w:pPr>
      <w:r>
        <w:rPr>
          <w:rFonts w:ascii="Arial" w:cs="Arial" w:eastAsia="Arial" w:hAnsi="Arial"/>
          <w:sz w:val="24"/>
          <w:szCs w:val="24"/>
        </w:rPr>
        <w:t xml:space="preserve">The story carries real constraints that operators and investors should weigh: power, water, and rising local opposition. Ohio suspended a data-center tax break amid pressure on tech firms to pay for the power they consume, and activist resistance surfaced in Illinois, Texas, and Arizona.</w:t>
      </w:r>
    </w:p>
    <w:p>
      <w:pPr>
        <w:pBdr>
          <w:left w:val="single" w:color="215D44" w:sz="18" w:space="6"/>
        </w:pBdr>
        <w:shd w:color="E0F4EB" w:val="solid"/>
        <w:spacing w:after="160" w:before="120"/>
      </w:pPr>
      <w:r>
        <w:rPr>
          <w:rFonts w:ascii="Arial" w:cs="Arial" w:eastAsia="Arial" w:hAnsi="Arial"/>
          <w:b/>
          <w:bCs/>
          <w:color w:val="163E2D"/>
          <w:sz w:val="22"/>
          <w:szCs w:val="22"/>
        </w:rPr>
        <w:t xml:space="preserve">For our clients:  </w:t>
      </w:r>
      <w:r>
        <w:rPr>
          <w:rFonts w:ascii="Arial" w:cs="Arial" w:eastAsia="Arial" w:hAnsi="Arial"/>
          <w:i/>
          <w:iCs/>
          <w:sz w:val="22"/>
          <w:szCs w:val="22"/>
        </w:rPr>
        <w:t xml:space="preserve">exposure to data-center demand, direct or through pull-through into HVAC, electrical, structural, and finishing products, is the cleanest growth opportunity in the sector, though it concentrates risk in one capital- and power-intensive source.</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capturing a new growth segment.  </w:t>
      </w:r>
      <w:r>
        <w:rPr>
          <w:rFonts w:ascii="Arial" w:cs="Arial" w:eastAsia="Arial" w:hAnsi="Arial"/>
          <w:sz w:val="21"/>
          <w:szCs w:val="21"/>
        </w:rPr>
        <w:t xml:space="preserve">For a building-products manufacturer targeting a new, higher-value end-user segment, AV built a go-to-market strategy segment-by-segment: mapping the buying center, criteria, and process; defining the sales-rep profile and value-added support model; and producing a sized market-opportunity assessment and roll-out plan. The same playbook applies directly to capturing data-center demand: identify the highest-value programs, then build the commercial readiness to win them.</w:t>
      </w:r>
      <w:r>
        <w:rPr>
          <w:rFonts w:ascii="Arial" w:cs="Arial" w:eastAsia="Arial" w:hAnsi="Arial"/>
          <w:i/>
          <w:iCs/>
          <w:color w:val="7B7B7B"/>
          <w:sz w:val="18"/>
          <w:szCs w:val="18"/>
        </w:rPr>
        <w:t xml:space="preserve">  (real AV engagement, anonymized)</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(confirm client-disclosure permission before naming)</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anonymized)</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higher and volatile; recovery slipped</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Drop the easing→recovery base case; rate-gated frame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“Muted” right; timing was the hard part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Track the whipsaw; policy is the risk</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Biggest blind spot; new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first cracks”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 change; compress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Keep the analysis box</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Promoted to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“Bottoming, not recovering”</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We don't pretend to have a crystal ball, and neither does anyone else forecasting this market. That is why operators benefit from an advisor who revisits the call, learns from it, and adjusts.</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New-segment growth capture (see §5) — go-to-market strategy by end-user segment for a building-products manufacturer; sized market opportunity and roll-out plan.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fact-based supplier negotiations for a PE-owned industrial; &gt;20% price reduction.</w:t>
      </w:r>
    </w:p>
    <w:p>
      <w:pPr>
        <w:pBdr>
          <w:left w:val="single" w:color="215D44" w:sz="18" w:space="6"/>
        </w:pBdr>
        <w:shd w:color="E0F4EB" w:val="solid"/>
        <w:spacing w:after="160" w:before="120"/>
      </w:pPr>
      <w:r>
        <w:rPr>
          <w:rFonts w:ascii="Arial" w:cs="Arial" w:eastAsia="Arial" w:hAnsi="Arial"/>
          <w:b/>
          <w:bCs/>
          <w:color w:val="163E2D"/>
          <w:sz w:val="22"/>
          <w:szCs w:val="22"/>
        </w:rPr>
        <w:t xml:space="preserve">Note:  </w:t>
      </w:r>
      <w:r>
        <w:rPr>
          <w:rFonts w:ascii="Arial" w:cs="Arial" w:eastAsia="Arial" w:hAnsi="Arial"/>
          <w:i/>
          <w:iCs/>
          <w:sz w:val="22"/>
          <w:szCs w:val="22"/>
        </w:rPr>
        <w:t xml:space="preserve">The engagements above are real Applied Value cases from the AV case-study database, anonymized where required. Confirm client-disclosure permissions (for example, naming Heidelberg Materials) and final figures before publication.</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nfaffbpfdo4kptpqzgqr"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2026-06-12T16:25:51.245Z</dcterms:created>
  <dcterms:modified xsi:type="dcterms:W3CDTF">2026-06-12T16:25:51.245Z</dcterms:modified>
</cp:coreProperties>
</file>

<file path=docProps/custom.xml><?xml version="1.0" encoding="utf-8"?>
<Properties xmlns="http://schemas.openxmlformats.org/officeDocument/2006/custom-properties" xmlns:vt="http://schemas.openxmlformats.org/officeDocument/2006/docPropsVTypes"/>
</file>