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Instance-Level Spatial Transcriptomics Resolves TLS Functional States Predictive of Survival and Immunotherapy Response Across Cancer Types</w:t>
      </w:r>
    </w:p>
    <w:p>
      <w:pPr>
        <w:pStyle w:val="Author"/>
      </w:pPr>
      <w:r>
        <w:t xml:space="preserve"> </w:t>
      </w:r>
    </w:p>
    <w:p>
      <w:pPr>
        <w:pStyle w:val="Date"/>
      </w:pPr>
      <w:r>
        <w:t xml:space="preserve">2026</w:t>
      </w:r>
    </w:p>
    <w:p>
      <w:pPr>
        <w:pStyle w:val="AbstractTitle"/>
      </w:pPr>
      <w:r>
        <w:t xml:space="preserve">Abstract</w:t>
      </w:r>
    </w:p>
    <w:p>
      <w:pPr>
        <w:pStyle w:val="Abstract"/>
      </w:pPr>
      <w:r>
        <w:t xml:space="preserve">Tertiary lymphoid structures (TLS) are ectopic lymphoid organs whose functional state</w:t>
      </w:r>
      <w:r>
        <w:t xml:space="preserve"> </w:t>
      </w:r>
      <w:r>
        <w:t xml:space="preserve">(immunogenic or suppressive) determines their clinical impact, yet bulk transcriptomics</w:t>
      </w:r>
      <w:r>
        <w:t xml:space="preserve"> </w:t>
      </w:r>
      <w:r>
        <w:t xml:space="preserve">cannot distinguish these states because critical spatial signals are lost when tissue is</w:t>
      </w:r>
      <w:r>
        <w:t xml:space="preserve"> </w:t>
      </w:r>
      <w:r>
        <w:t xml:space="preserve">homogenised. We characterise TLS microenvironments at the instance level from spatial</w:t>
      </w:r>
      <w:r>
        <w:t xml:space="preserve"> </w:t>
      </w:r>
      <w:r>
        <w:t xml:space="preserve">transcriptomics (ST), applied to 670 TLS instances detected by HookNet-TLS across 113 ST</w:t>
      </w:r>
      <w:r>
        <w:t xml:space="preserve"> </w:t>
      </w:r>
      <w:r>
        <w:t xml:space="preserve">samples from 12 cancer types in the HEST-1k atlas. Feature vectors combine seven in-TLS</w:t>
      </w:r>
      <w:r>
        <w:t xml:space="preserve"> </w:t>
      </w:r>
      <w:r>
        <w:t xml:space="preserve">gene module scores (germinal centre, T follicular helper, plasma cell, HEV, suppressive,</w:t>
      </w:r>
      <w:r>
        <w:t xml:space="preserve"> </w:t>
      </w:r>
      <w:r>
        <w:t xml:space="preserve">myeloid-suppressive, cytotoxic) with five spatial neighbourhood scores within a 300 µm</w:t>
      </w:r>
      <w:r>
        <w:t xml:space="preserve"> </w:t>
      </w:r>
      <w:r>
        <w:t xml:space="preserve">microenvironmental ring. Leiden clustering of these 12 features resolves six functionally</w:t>
      </w:r>
      <w:r>
        <w:t xml:space="preserve"> </w:t>
      </w:r>
      <w:r>
        <w:t xml:space="preserve">distinct TLS states (ARI =0.83 ± 0.14). Cluster C1 (immunogenic TLS,</w:t>
      </w:r>
      <w:r>
        <w:t xml:space="preserve"> </w:t>
      </w:r>
      <m:oMath>
        <m:r>
          <m:t>n</m:t>
        </m:r>
      </m:oMath>
      <w:r>
        <w:t xml:space="preserve"> </w:t>
      </w:r>
      <w:r>
        <w:t xml:space="preserve">= 168) is enriched</w:t>
      </w:r>
      <w:r>
        <w:t xml:space="preserve"> </w:t>
      </w:r>
      <w:r>
        <w:t xml:space="preserve">for germinal centre and plasma cell activity and co-expresses canonical TLS organisers</w:t>
      </w:r>
      <w:r>
        <w:t xml:space="preserve"> </w:t>
      </w:r>
      <w:r>
        <w:t xml:space="preserve">not included in the feature set (CR2/CD21 9.4×, LTA 6.0×, MS4A1/CD20 4.0× above cohort mean).</w:t>
      </w:r>
      <w:r>
        <w:t xml:space="preserve"> </w:t>
      </w:r>
      <w:r>
        <w:t xml:space="preserve">Validated across four independent cohorts: C1 independently predicts progression-free</w:t>
      </w:r>
      <w:r>
        <w:t xml:space="preserve"> </w:t>
      </w:r>
      <w:r>
        <w:t xml:space="preserve">survival in TCGA-BRCA (Cox HR = 0.915 [0.844–0.992],</w:t>
      </w:r>
      <w:r>
        <w:t xml:space="preserve"> </w:t>
      </w:r>
      <m:oMath>
        <m:r>
          <m:t>p</m:t>
        </m:r>
      </m:oMath>
      <w:r>
        <w:t xml:space="preserve"> </w:t>
      </w:r>
      <w:r>
        <w:t xml:space="preserve">= 0.031,</w:t>
      </w:r>
      <w:r>
        <w:t xml:space="preserve"> </w:t>
      </w:r>
      <m:oMath>
        <m:r>
          <m:t>n</m:t>
        </m:r>
      </m:oMath>
      <w:r>
        <w:t xml:space="preserve"> </w:t>
      </w:r>
      <w:r>
        <w:t xml:space="preserve">= 927), overall survival</w:t>
      </w:r>
      <w:r>
        <w:t xml:space="preserve"> </w:t>
      </w:r>
      <w:r>
        <w:t xml:space="preserve">in METABRIC (</w:t>
      </w:r>
      <m:oMath>
        <m:r>
          <m:t>n</m:t>
        </m:r>
      </m:oMath>
      <w:r>
        <w:t xml:space="preserve"> </w:t>
      </w:r>
      <w:r>
        <w:t xml:space="preserve">= 1,980, HR = 0.855,</w:t>
      </w:r>
      <w:r>
        <w:t xml:space="preserve"> </w:t>
      </w:r>
      <m:oMath>
        <m:r>
          <m:t>p</m:t>
        </m:r>
      </m:oMath>
      <w:r>
        <w:t xml:space="preserve"> </w:t>
      </w:r>
      <w:r>
        <w:t xml:space="preserve">= 0.003), and overall survival in TCGA-CESC</w:t>
      </w:r>
      <w:r>
        <w:t xml:space="preserve"> </w:t>
      </w:r>
      <w:r>
        <w:t xml:space="preserve">(HR = 0.562 [0.345–0.918],</w:t>
      </w:r>
      <w:r>
        <w:t xml:space="preserve"> </w:t>
      </w:r>
      <m:oMath>
        <m:r>
          <m:t>p</m:t>
        </m:r>
      </m:oMath>
      <w:r>
        <w:t xml:space="preserve"> </w:t>
      </w:r>
      <w:r>
        <w:t xml:space="preserve">= 0.021,</w:t>
      </w:r>
      <w:r>
        <w:t xml:space="preserve"> </w:t>
      </w:r>
      <m:oMath>
        <m:r>
          <m:t>n</m:t>
        </m:r>
      </m:oMath>
      <w:r>
        <w:t xml:space="preserve"> </w:t>
      </w:r>
      <w:r>
        <w:t xml:space="preserve">= 304), demonstrating cross-cancer</w:t>
      </w:r>
      <w:r>
        <w:t xml:space="preserve"> </w:t>
      </w:r>
      <w:r>
        <w:t xml:space="preserve">generalisability. Pre-treatment C1 scores also predict pembrolizumab response in TNBC</w:t>
      </w:r>
      <w:r>
        <w:t xml:space="preserve"> </w:t>
      </w:r>
      <w:r>
        <w:t xml:space="preserve">(Mann-Whitney</w:t>
      </w:r>
      <w:r>
        <w:t xml:space="preserve"> </w:t>
      </w:r>
      <m:oMath>
        <m:r>
          <m:t>p</m:t>
        </m:r>
      </m:oMath>
      <w:r>
        <w:t xml:space="preserve"> </w:t>
      </w:r>
      <w:r>
        <w:t xml:space="preserve">= 0.030, Spearman</w:t>
      </w:r>
      <w:r>
        <w:t xml:space="preserve"> </w:t>
      </w:r>
      <m:oMath>
        <m:r>
          <m:t>ρ</m:t>
        </m:r>
      </m:oMath>
      <w:r>
        <w:t xml:space="preserve"> </w:t>
      </w:r>
      <w:r>
        <w:t xml:space="preserve">= −0.384,</w:t>
      </w:r>
      <w:r>
        <w:t xml:space="preserve"> </w:t>
      </w:r>
      <m:oMath>
        <m:r>
          <m:t>p</m:t>
        </m:r>
      </m:oMath>
      <w:r>
        <w:t xml:space="preserve"> </w:t>
      </w:r>
      <w:r>
        <w:t xml:space="preserve">= 0.040). In contrast, Cluster</w:t>
      </w:r>
      <w:r>
        <w:t xml:space="preserve"> </w:t>
      </w:r>
      <w:r>
        <w:t xml:space="preserve">C4 (myeloid-suppressive TLS,</w:t>
      </w:r>
      <w:r>
        <w:t xml:space="preserve"> </w:t>
      </w:r>
      <m:oMath>
        <m:r>
          <m:t>n</m:t>
        </m:r>
      </m:oMath>
      <w:r>
        <w:t xml:space="preserve"> </w:t>
      </w:r>
      <w:r>
        <w:t xml:space="preserve">= 70) is defined by neighbourhood myeloid enrichment</w:t>
      </w:r>
      <w:r>
        <w:t xml:space="preserve"> </w:t>
      </w:r>
      <w:r>
        <w:t xml:space="preserve">and TGFβ signalling, spatial features absent from bulk transcriptomic signatures,</w:t>
      </w:r>
      <w:r>
        <w:t xml:space="preserve"> </w:t>
      </w:r>
      <w:r>
        <w:t xml:space="preserve">explaining its null survival signal in TCGA-BRCA and METABRIC. The framework</w:t>
      </w:r>
      <w:r>
        <w:t xml:space="preserve"> </w:t>
      </w:r>
      <w:r>
        <w:t xml:space="preserve">establishes that TLS functional state is encoded in the spatial microenvironment, not</w:t>
      </w:r>
      <w:r>
        <w:t xml:space="preserve"> </w:t>
      </w:r>
      <w:r>
        <w:t xml:space="preserve">in aggregate marker abundance, and provides a scalable ST-based profiling strategy for</w:t>
      </w:r>
      <w:r>
        <w:t xml:space="preserve"> </w:t>
      </w:r>
      <w:r>
        <w:t xml:space="preserve">multi-cancer TLS characterisation. A morphological transfer experiment demonstrates</w:t>
      </w:r>
      <w:r>
        <w:t xml:space="preserve"> </w:t>
      </w:r>
      <w:r>
        <w:t xml:space="preserve">that the ST-derived C1/C4 distinction is recoverable from H&amp;E alone: a Random Forest</w:t>
      </w:r>
      <w:r>
        <w:t xml:space="preserve"> </w:t>
      </w:r>
      <w:r>
        <w:t xml:space="preserve">on nine aggregate features achieves AUROC = 0.744 within the SPA platform (C1 vs C4,</w:t>
      </w:r>
      <w:r>
        <w:t xml:space="preserve"> </w:t>
      </w:r>
      <w:r>
        <w:t xml:space="preserve">9-fold LOPO-CV), and a two-region spatial graph attention network improves this to</w:t>
      </w:r>
      <w:r>
        <w:t xml:space="preserve"> </w:t>
      </w:r>
      <w:r>
        <w:t xml:space="preserve">AUROC = 0.857 (+0.113), confirming that the ST-derived functional states have a</w:t>
      </w:r>
      <w:r>
        <w:t xml:space="preserve"> </w:t>
      </w:r>
      <w:r>
        <w:t xml:space="preserve">spatially-structured histological correlate accessible without transcriptomic data.</w:t>
      </w:r>
    </w:p>
    <w:bookmarkStart w:id="9" w:name="introduction"/>
    <w:p>
      <w:pPr>
        <w:pStyle w:val="Heading1"/>
      </w:pPr>
      <w:r>
        <w:t xml:space="preserve">Introduction</w:t>
      </w:r>
    </w:p>
    <w:p>
      <w:pPr>
        <w:pStyle w:val="FirstParagraph"/>
      </w:pPr>
      <w:r>
        <w:t xml:space="preserve">Tertiary lymphoid structures are ectopic lymphoid organs that assemble within chronically</w:t>
      </w:r>
      <w:r>
        <w:t xml:space="preserve"> </w:t>
      </w:r>
      <w:r>
        <w:t xml:space="preserve">inflamed tissues, including solid tumours</w:t>
      </w:r>
      <w:r>
        <w:t xml:space="preserve"> </w:t>
      </w:r>
      <w:r>
        <w:t xml:space="preserve">(Sautes-Fridman et al. 2019; Schumacher and Thommen 2022)</w:t>
      </w:r>
      <w:r>
        <w:t xml:space="preserve">. Three</w:t>
      </w:r>
      <w:r>
        <w:t xml:space="preserve"> </w:t>
      </w:r>
      <w:r>
        <w:t xml:space="preserve">landmark 2020 studies established that TLS abundance predicts improved survival and</w:t>
      </w:r>
      <w:r>
        <w:t xml:space="preserve"> </w:t>
      </w:r>
      <w:r>
        <w:t xml:space="preserve">immunotherapy response across melanoma, sarcoma, and renal cell carcinoma</w:t>
      </w:r>
      <w:r>
        <w:t xml:space="preserve"> </w:t>
      </w:r>
      <w:r>
        <w:t xml:space="preserve">(</w:t>
      </w:r>
      <w:r>
        <w:t xml:space="preserve">Cabrita et al.</w:t>
      </w:r>
      <w:r>
        <w:t xml:space="preserve"> </w:t>
      </w:r>
      <w:r>
        <w:t xml:space="preserve">2020;</w:t>
      </w:r>
      <w:r>
        <w:t xml:space="preserve"> </w:t>
      </w:r>
      <w:r>
        <w:t xml:space="preserve">Helmink et al.</w:t>
      </w:r>
      <w:r>
        <w:t xml:space="preserve"> </w:t>
      </w:r>
      <w:r>
        <w:t xml:space="preserve">2020;</w:t>
      </w:r>
      <w:r>
        <w:t xml:space="preserve"> </w:t>
      </w:r>
      <w:r>
        <w:t xml:space="preserve">Petitprez et al.</w:t>
      </w:r>
      <w:r>
        <w:t xml:space="preserve"> </w:t>
      </w:r>
      <w:r>
        <w:t xml:space="preserve">2020)</w:t>
      </w:r>
      <w:r>
        <w:t xml:space="preserve">. However, TLS are not functionally uniform. Mature</w:t>
      </w:r>
      <w:r>
        <w:t xml:space="preserve"> </w:t>
      </w:r>
      <w:r>
        <w:t xml:space="preserve">immunogenic TLS contain germinal centre (GC) B cells undergoing affinity maturation,</w:t>
      </w:r>
      <w:r>
        <w:t xml:space="preserve"> </w:t>
      </w:r>
      <w:r>
        <w:t xml:space="preserve">T follicular helper (Tfh) cells, follicular dendritic cells, and high-endothelial venules</w:t>
      </w:r>
      <w:r>
        <w:t xml:space="preserve"> </w:t>
      </w:r>
      <w:r>
        <w:t xml:space="preserve">(HEV) through which naïve lymphocytes are recruited</w:t>
      </w:r>
      <w:r>
        <w:t xml:space="preserve"> </w:t>
      </w:r>
      <w:r>
        <w:t xml:space="preserve">(Sautes-Fridman et al. 2019)</w:t>
      </w:r>
      <w:r>
        <w:t xml:space="preserve">. Early TLS</w:t>
      </w:r>
      <w:r>
        <w:t xml:space="preserve"> </w:t>
      </w:r>
      <w:r>
        <w:t xml:space="preserve">represent nascent structures with accumulating lymphocytes but incomplete follicular</w:t>
      </w:r>
      <w:r>
        <w:t xml:space="preserve"> </w:t>
      </w:r>
      <w:r>
        <w:t xml:space="preserve">organisation. A distinct suppressive phenotype has been described in which regulatory</w:t>
      </w:r>
      <w:r>
        <w:t xml:space="preserve"> </w:t>
      </w:r>
      <w:r>
        <w:t xml:space="preserve">T cells, tolerogenic macrophages, and TGFβ-producing myeloid cells aggregate within</w:t>
      </w:r>
      <w:r>
        <w:t xml:space="preserve"> </w:t>
      </w:r>
      <w:r>
        <w:t xml:space="preserve">TLS-like structures, potentially dampening anti-tumour immunity</w:t>
      </w:r>
      <w:r>
        <w:t xml:space="preserve"> </w:t>
      </w:r>
      <w:r>
        <w:t xml:space="preserve">(</w:t>
      </w:r>
      <w:r>
        <w:t xml:space="preserve">Joshi et al.</w:t>
      </w:r>
      <w:r>
        <w:t xml:space="preserve"> </w:t>
      </w:r>
      <w:r>
        <w:t xml:space="preserve">2015;</w:t>
      </w:r>
      <w:r>
        <w:t xml:space="preserve"> </w:t>
      </w:r>
      <w:r>
        <w:t xml:space="preserve">Devi-Marulkar et al.</w:t>
      </w:r>
      <w:r>
        <w:t xml:space="preserve"> </w:t>
      </w:r>
      <w:r>
        <w:t xml:space="preserve">2022)</w:t>
      </w:r>
      <w:r>
        <w:t xml:space="preserve">.</w:t>
      </w:r>
      <w:r>
        <w:t xml:space="preserve"> </w:t>
      </w:r>
      <w:r>
        <w:t xml:space="preserve">The clinical impact of TLS therefore depends not on their presence but on their functional</w:t>
      </w:r>
      <w:r>
        <w:t xml:space="preserve"> </w:t>
      </w:r>
      <w:r>
        <w:t xml:space="preserve">state — a distinction that existing profiling methods cannot resolve.</w:t>
      </w:r>
    </w:p>
    <w:p>
      <w:pPr>
        <w:pStyle w:val="BodyText"/>
      </w:pPr>
      <w:r>
        <w:t xml:space="preserve">The failure of bulk transcriptomics to distinguish TLS functional states follows directly</w:t>
      </w:r>
      <w:r>
        <w:t xml:space="preserve"> </w:t>
      </w:r>
      <w:r>
        <w:t xml:space="preserve">from the spatial organisation of the signals involved. CXCL13, the canonical</w:t>
      </w:r>
      <w:r>
        <w:t xml:space="preserve"> </w:t>
      </w:r>
      <w:r>
        <w:t xml:space="preserve">Tfh and TLS marker, is co-expressed by exhausted CD8</w:t>
      </w:r>
      <m:oMath>
        <m:sSup>
          <m:e>
            <m:r>
              <m:t>​</m:t>
            </m:r>
          </m:e>
          <m:sup>
            <m:r>
              <m:rPr>
                <m:sty m:val="p"/>
              </m:rPr>
              <m:t>+</m:t>
            </m:r>
          </m:sup>
        </m:sSup>
      </m:oMath>
      <w:r>
        <w:t xml:space="preserve"> </w:t>
      </w:r>
      <w:r>
        <w:t xml:space="preserve">T cells throughout the tumour</w:t>
      </w:r>
      <w:r>
        <w:t xml:space="preserve"> </w:t>
      </w:r>
      <w:r>
        <w:t xml:space="preserve">parenchyma independently of TLS organisation</w:t>
      </w:r>
      <w:r>
        <w:t xml:space="preserve"> </w:t>
      </w:r>
      <w:r>
        <w:t xml:space="preserve">(Dai et al. 2020;</w:t>
      </w:r>
      <w:r>
        <w:t xml:space="preserve"> </w:t>
      </w:r>
      <w:r>
        <w:t xml:space="preserve">Zheng et al.</w:t>
      </w:r>
      <w:r>
        <w:t xml:space="preserve"> </w:t>
      </w:r>
      <w:r>
        <w:t xml:space="preserve">2021)</w:t>
      </w:r>
      <w:r>
        <w:t xml:space="preserve">. Bulk CXCL13 therefore</w:t>
      </w:r>
      <w:r>
        <w:t xml:space="preserve"> </w:t>
      </w:r>
      <w:r>
        <w:t xml:space="preserve">rises in both productive immunogenic TLS and in CXCL13-high immunosuppressed tumours</w:t>
      </w:r>
      <w:r>
        <w:t xml:space="preserve"> </w:t>
      </w:r>
      <w:r>
        <w:t xml:space="preserve">lacking organised lymphoid structures entirely — the two biological scenarios that most</w:t>
      </w:r>
      <w:r>
        <w:t xml:space="preserve"> </w:t>
      </w:r>
      <w:r>
        <w:t xml:space="preserve">urgently need to be distinguished for patient stratification. MS4A1/CD20</w:t>
      </w:r>
      <m:oMath>
        <m:sSup>
          <m:e>
            <m:r>
              <m:t>​</m:t>
            </m:r>
          </m:e>
          <m:sup>
            <m:r>
              <m:rPr>
                <m:sty m:val="p"/>
              </m:rPr>
              <m:t>+</m:t>
            </m:r>
          </m:sup>
        </m:sSup>
      </m:oMath>
      <w:r>
        <w:t xml:space="preserve"> </w:t>
      </w:r>
      <w:r>
        <w:t xml:space="preserve">B cells circulate</w:t>
      </w:r>
      <w:r>
        <w:t xml:space="preserve"> </w:t>
      </w:r>
      <w:r>
        <w:t xml:space="preserve">as tumour-infiltrating B cells independently of TLS organisation, and the myeloid and TGFβ</w:t>
      </w:r>
      <w:r>
        <w:t xml:space="preserve"> </w:t>
      </w:r>
      <w:r>
        <w:t xml:space="preserve">signals that define suppressive TLS microenvironments are spatially concentrated in the stroma</w:t>
      </w:r>
      <w:r>
        <w:t xml:space="preserve"> </w:t>
      </w:r>
      <w:r>
        <w:t xml:space="preserve">surrounding TLS rather than within them, contributing only a small fraction of total tumour</w:t>
      </w:r>
      <w:r>
        <w:t xml:space="preserve"> </w:t>
      </w:r>
      <w:r>
        <w:t xml:space="preserve">RNA in bulk assays. Spatial resolution at the level of individual TLS microenvironments is</w:t>
      </w:r>
      <w:r>
        <w:t xml:space="preserve"> </w:t>
      </w:r>
      <w:r>
        <w:t xml:space="preserve">therefore required to discriminate organised immunogenic TLS from scattered immune infiltrate.</w:t>
      </w:r>
    </w:p>
    <w:p>
      <w:pPr>
        <w:pStyle w:val="BodyText"/>
      </w:pPr>
      <w:r>
        <w:t xml:space="preserve">Spatial transcriptomics, particularly the 10x Visium platform, now provides gene expression</w:t>
      </w:r>
      <w:r>
        <w:t xml:space="preserve"> </w:t>
      </w:r>
      <w:r>
        <w:t xml:space="preserve">profiles at 55–100 µm resolution across intact tissue sections, enabling direct</w:t>
      </w:r>
      <w:r>
        <w:t xml:space="preserve"> </w:t>
      </w:r>
      <w:r>
        <w:t xml:space="preserve">characterisation of intact TLS microenvironments</w:t>
      </w:r>
      <w:r>
        <w:t xml:space="preserve"> </w:t>
      </w:r>
      <w:r>
        <w:t xml:space="preserve">(</w:t>
      </w:r>
      <w:r>
        <w:t xml:space="preserve">Stahl et al.</w:t>
      </w:r>
      <w:r>
        <w:t xml:space="preserve"> </w:t>
      </w:r>
      <w:r>
        <w:t xml:space="preserve">2016; Moses and Pachter 2022)</w:t>
      </w:r>
      <w:r>
        <w:t xml:space="preserve">. However, existing</w:t>
      </w:r>
      <w:r>
        <w:t xml:space="preserve"> </w:t>
      </w:r>
      <w:r>
        <w:t xml:space="preserve">ST analytical workflows operate at the spot level, clustering the expression profiles of</w:t>
      </w:r>
      <w:r>
        <w:t xml:space="preserve"> </w:t>
      </w:r>
      <w:r>
        <w:t xml:space="preserve">individual capture spots without aggregating the multi-scale spatial context that determines</w:t>
      </w:r>
      <w:r>
        <w:t xml:space="preserve"> </w:t>
      </w:r>
      <w:r>
        <w:t xml:space="preserve">TLS function: the combination of in-TLS cellular composition and the composition of the</w:t>
      </w:r>
      <w:r>
        <w:t xml:space="preserve"> </w:t>
      </w:r>
      <w:r>
        <w:t xml:space="preserve">immediate microenvironmental niche surrounding each structure. A spot within a germinal centre</w:t>
      </w:r>
      <w:r>
        <w:t xml:space="preserve"> </w:t>
      </w:r>
      <w:r>
        <w:t xml:space="preserve">and a spot within a myeloid-infiltrated ring around a suppressed TLS may be spatially adjacent</w:t>
      </w:r>
      <w:r>
        <w:t xml:space="preserve"> </w:t>
      </w:r>
      <w:r>
        <w:t xml:space="preserve">and phenotypically similar at the individual spot level, yet belong to fundamentally different</w:t>
      </w:r>
      <w:r>
        <w:t xml:space="preserve"> </w:t>
      </w:r>
      <w:r>
        <w:t xml:space="preserve">functional contexts that only become apparent when the entire TLS instance and its</w:t>
      </w:r>
      <w:r>
        <w:t xml:space="preserve"> </w:t>
      </w:r>
      <w:r>
        <w:t xml:space="preserve">neighbourhood are considered together.The HEST-1k atlas consolidates 1,276 paired H&amp;E and</w:t>
      </w:r>
      <w:r>
        <w:t xml:space="preserve"> </w:t>
      </w:r>
      <w:r>
        <w:t xml:space="preserve">ST samples from public repositories, covering 25 cancer types and standardising data formats</w:t>
      </w:r>
      <w:r>
        <w:t xml:space="preserve"> </w:t>
      </w:r>
      <w:r>
        <w:t xml:space="preserve">across platforms</w:t>
      </w:r>
      <w:r>
        <w:t xml:space="preserve"> </w:t>
      </w:r>
      <w:r>
        <w:t xml:space="preserve">(Jaume et al. 2024)</w:t>
      </w:r>
      <w:r>
        <w:t xml:space="preserve">, creating the opportunity for pan-cancer instance-level TLS</w:t>
      </w:r>
      <w:r>
        <w:t xml:space="preserve"> </w:t>
      </w:r>
      <w:r>
        <w:t xml:space="preserve">characterisation at a scale previously unavailable.</w:t>
      </w:r>
    </w:p>
    <w:p>
      <w:pPr>
        <w:pStyle w:val="BodyText"/>
      </w:pPr>
      <w:r>
        <w:t xml:space="preserve">We characterise TLS microenvironments at the instance level across 670 TLS instances</w:t>
      </w:r>
      <w:r>
        <w:t xml:space="preserve"> </w:t>
      </w:r>
      <w:r>
        <w:t xml:space="preserve">from 113 ST samples spanning 12 cancer types in HEST-1k. HookNet-TLS</w:t>
      </w:r>
      <w:r>
        <w:t xml:space="preserve"> </w:t>
      </w:r>
      <w:r>
        <w:t xml:space="preserve">(</w:t>
      </w:r>
      <w:r>
        <w:t xml:space="preserve">Rijthoven et al.</w:t>
      </w:r>
      <w:r>
        <w:t xml:space="preserve"> </w:t>
      </w:r>
      <w:r>
        <w:t xml:space="preserve">2024)</w:t>
      </w:r>
      <w:r>
        <w:t xml:space="preserve"> </w:t>
      </w:r>
      <w:r>
        <w:t xml:space="preserve">detects TLS in paired H&amp;E images; co-registered ST spots within each TLS polygon and a</w:t>
      </w:r>
      <w:r>
        <w:t xml:space="preserve"> </w:t>
      </w:r>
      <w:r>
        <w:t xml:space="preserve">300 µm microenvironmental ring are aggregated into 12 biologically interpretable features</w:t>
      </w:r>
      <w:r>
        <w:t xml:space="preserve"> </w:t>
      </w:r>
      <w:r>
        <w:t xml:space="preserve">combining in-TLS gene module scores with neighbourhood context. Unsupervised Leiden</w:t>
      </w:r>
      <w:r>
        <w:t xml:space="preserve"> </w:t>
      </w:r>
      <w:r>
        <w:t xml:space="preserve">clustering resolves six functional states, of which the immunogenic state (C1) independently</w:t>
      </w:r>
      <w:r>
        <w:t xml:space="preserve"> </w:t>
      </w:r>
      <w:r>
        <w:t xml:space="preserve">predicts survival in TCGA-BRCA, METABRIC, and TCGA-CESC, and pre-treatment C1 scores predict</w:t>
      </w:r>
      <w:r>
        <w:t xml:space="preserve"> </w:t>
      </w:r>
      <w:r>
        <w:t xml:space="preserve">pathological complete response to pembrolizumab in TNBC. The myeloid-suppressive state (C4),</w:t>
      </w:r>
      <w:r>
        <w:t xml:space="preserve"> </w:t>
      </w:r>
      <w:r>
        <w:t xml:space="preserve">defined by a spatially concentrated myeloid and TGFβ-high ring surrounding structurally</w:t>
      </w:r>
      <w:r>
        <w:t xml:space="preserve"> </w:t>
      </w:r>
      <w:r>
        <w:t xml:space="preserve">mature TLS, shows no survival signal in bulk transcriptomic cohorts, a mechanistically</w:t>
      </w:r>
      <w:r>
        <w:t xml:space="preserve"> </w:t>
      </w:r>
      <w:r>
        <w:t xml:space="preserve">anticipated null result that directly demonstrates the information lost at tissue</w:t>
      </w:r>
      <w:r>
        <w:t xml:space="preserve"> </w:t>
      </w:r>
      <w:r>
        <w:t xml:space="preserve">homogenisation. A morphological transfer experiment further shows that the ST-derived C1/C4 distinction</w:t>
      </w:r>
      <w:r>
        <w:t xml:space="preserve"> </w:t>
      </w:r>
      <w:r>
        <w:t xml:space="preserve">is partially recoverable from H&amp;E alone using a spatial graph attention network,</w:t>
      </w:r>
      <w:r>
        <w:t xml:space="preserve"> </w:t>
      </w:r>
      <w:r>
        <w:t xml:space="preserve">establishing a pathway toward deployment without transcriptomic infrastructure.</w:t>
      </w:r>
      <w:r>
        <w:t xml:space="preserve"> </w:t>
      </w:r>
      <w:r>
        <w:t xml:space="preserve">Together these results demonstrate that TLS functional state is encoded in instance-level</w:t>
      </w:r>
      <w:r>
        <w:t xml:space="preserve"> </w:t>
      </w:r>
      <w:r>
        <w:t xml:space="preserve">spatial gene expression profiles — the combined composition of the TLS and its immediate</w:t>
      </w:r>
      <w:r>
        <w:t xml:space="preserve"> </w:t>
      </w:r>
      <w:r>
        <w:t xml:space="preserve">microenvironment — and not in aggregate marker abundance at any single spot or</w:t>
      </w:r>
      <w:r>
        <w:t xml:space="preserve"> </w:t>
      </w:r>
      <w:r>
        <w:t xml:space="preserve">in bulk tissue.</w:t>
      </w:r>
    </w:p>
    <w:bookmarkEnd w:id="9"/>
    <w:bookmarkStart w:id="19" w:name="methods"/>
    <w:p>
      <w:pPr>
        <w:pStyle w:val="Heading1"/>
      </w:pPr>
      <w:r>
        <w:t xml:space="preserve">Methods</w:t>
      </w:r>
    </w:p>
    <w:bookmarkStart w:id="10" w:name="datasets"/>
    <w:p>
      <w:pPr>
        <w:pStyle w:val="Heading2"/>
      </w:pPr>
      <w:r>
        <w:t xml:space="preserve">Datasets</w:t>
      </w:r>
    </w:p>
    <w:p>
      <w:pPr>
        <w:pStyle w:val="FirstParagraph"/>
      </w:pPr>
      <w:r>
        <w:rPr>
          <w:b/>
          <w:bCs/>
        </w:rPr>
        <w:t xml:space="preserve">HEST-1k atlas (TLS discovery cohort).</w:t>
      </w:r>
      <w:r>
        <w:t xml:space="preserve"> </w:t>
      </w:r>
      <w:r>
        <w:t xml:space="preserve">The HEST-1k atlas</w:t>
      </w:r>
      <w:r>
        <w:t xml:space="preserve"> </w:t>
      </w:r>
      <w:r>
        <w:t xml:space="preserve">(Jaume et al. 2024)</w:t>
      </w:r>
      <w:r>
        <w:t xml:space="preserve"> </w:t>
      </w:r>
      <w:r>
        <w:t xml:space="preserve">provides 1,276</w:t>
      </w:r>
      <w:r>
        <w:t xml:space="preserve"> </w:t>
      </w:r>
      <w:r>
        <w:t xml:space="preserve">paired H&amp;E whole-slide images (WSI) and spatial transcriptomics datasets from public</w:t>
      </w:r>
      <w:r>
        <w:t xml:space="preserve"> </w:t>
      </w:r>
      <w:r>
        <w:t xml:space="preserve">repositories. Samples were filtered to human cancer tissue with ST data (excluding murine,</w:t>
      </w:r>
      <w:r>
        <w:t xml:space="preserve"> </w:t>
      </w:r>
      <w:r>
        <w:t xml:space="preserve">non-cancer, and lymph node sections). TLS detection and subsequent analyses were performed</w:t>
      </w:r>
      <w:r>
        <w:t xml:space="preserve"> </w:t>
      </w:r>
      <w:r>
        <w:t xml:space="preserve">on 246 high-priority samples (Visium and Spatial Transcriptomics platforms), yielding</w:t>
      </w:r>
      <w:r>
        <w:t xml:space="preserve"> </w:t>
      </w:r>
      <w:r>
        <w:t xml:space="preserve">119 samples with at least one detectable TLS after the cc = 354 confidence threshold (see</w:t>
      </w:r>
      <w:r>
        <w:t xml:space="preserve"> </w:t>
      </w:r>
      <w:r>
        <w:t xml:space="preserve">below). Six samples were excluded from clustering for single-patient overrepresentation</w:t>
      </w:r>
      <w:r>
        <w:t xml:space="preserve"> </w:t>
      </w:r>
      <w:r>
        <w:t xml:space="preserve">(see Supplementary Note): SPA51/52/53 (patient BC23803, TNBC, 22 instances dominated by</w:t>
      </w:r>
      <w:r>
        <w:t xml:space="preserve"> </w:t>
      </w:r>
      <w:r>
        <w:t xml:space="preserve">a patient-specific myeloid phenotype) and SPA54/55/56 (patient BC23377, IDC, 55 instances</w:t>
      </w:r>
      <w:r>
        <w:t xml:space="preserve"> </w:t>
      </w:r>
      <w:r>
        <w:t xml:space="preserve">that formed a pure patient-specific VEGFA+TGFβ cluster at resolution 0.3). The final</w:t>
      </w:r>
      <w:r>
        <w:t xml:space="preserve"> </w:t>
      </w:r>
      <w:r>
        <w:t xml:space="preserve">clustering cohort comprised 670 TLS instances from 113 samples spanning 12 cancer types</w:t>
      </w:r>
      <w:r>
        <w:t xml:space="preserve"> </w:t>
      </w:r>
      <w:r>
        <w:t xml:space="preserve">(IDC, PRAD, EPM, CESC, COAD, PAAD, LUSC, READ, BLCA, SKCM, LUAD, GBM).</w:t>
      </w:r>
    </w:p>
    <w:p>
      <w:pPr>
        <w:pStyle w:val="BodyText"/>
      </w:pPr>
      <w:r>
        <w:rPr>
          <w:b/>
          <w:bCs/>
        </w:rPr>
        <w:t xml:space="preserve">TCGA-BRCA (survival validation).</w:t>
      </w:r>
      <w:r>
        <w:t xml:space="preserve"> </w:t>
      </w:r>
      <w:r>
        <w:t xml:space="preserve">Gene expression data were obtained from the UCSC</w:t>
      </w:r>
      <w:r>
        <w:t xml:space="preserve"> </w:t>
      </w:r>
      <w:r>
        <w:t xml:space="preserve">Xena TOIL RSEM repository (log</w:t>
      </w:r>
      <m:oMath>
        <m:sSub>
          <m:e>
            <m:r>
              <m:t>​</m:t>
            </m:r>
          </m:e>
          <m:sub>
            <m:r>
              <m:t>2</m:t>
            </m:r>
          </m:sub>
        </m:sSub>
      </m:oMath>
      <w:r>
        <w:t xml:space="preserve">(TPM+0.001), pan-cancer normalised)</w:t>
      </w:r>
      <w:r>
        <w:t xml:space="preserve"> </w:t>
      </w:r>
      <w:r>
        <w:t xml:space="preserve">(</w:t>
      </w:r>
      <w:r>
        <w:t xml:space="preserve">Goldman et al.</w:t>
      </w:r>
      <w:r>
        <w:t xml:space="preserve"> </w:t>
      </w:r>
      <w:r>
        <w:t xml:space="preserve">2020)</w:t>
      </w:r>
      <w:r>
        <w:t xml:space="preserve">.</w:t>
      </w:r>
      <w:r>
        <w:t xml:space="preserve"> </w:t>
      </w:r>
      <w:r>
        <w:t xml:space="preserve">Clinical annotations including PAM50 subtype and progression-free interval (PFI) were</w:t>
      </w:r>
      <w:r>
        <w:t xml:space="preserve"> </w:t>
      </w:r>
      <w:r>
        <w:t xml:space="preserve">downloaded from the Xena survival data portal. After filtering for complete covariate data,</w:t>
      </w:r>
      <w:r>
        <w:t xml:space="preserve"> </w:t>
      </w:r>
      <m:oMath>
        <m:r>
          <m:t>n</m:t>
        </m:r>
      </m:oMath>
      <w:r>
        <w:t xml:space="preserve"> </w:t>
      </w:r>
      <w:r>
        <w:t xml:space="preserve">= 1,211 BRCA patients (927 with full covariate data for Cox regression) with 171 PFI</w:t>
      </w:r>
      <w:r>
        <w:t xml:space="preserve"> </w:t>
      </w:r>
      <w:r>
        <w:t xml:space="preserve">events were included.</w:t>
      </w:r>
    </w:p>
    <w:p>
      <w:pPr>
        <w:pStyle w:val="BodyText"/>
      </w:pPr>
      <w:r>
        <w:rPr>
          <w:b/>
          <w:bCs/>
        </w:rPr>
        <w:t xml:space="preserve">METABRIC (survival replication).</w:t>
      </w:r>
      <w:r>
        <w:t xml:space="preserve"> </w:t>
      </w:r>
      <w:r>
        <w:t xml:space="preserve">Gene expression (Illumina HT-12 v3 microarray,</w:t>
      </w:r>
      <w:r>
        <w:t xml:space="preserve"> </w:t>
      </w:r>
      <w:r>
        <w:t xml:space="preserve">z-scored) and clinical data were obtained from cBioPortal (study: brca_metabric) via the</w:t>
      </w:r>
      <w:r>
        <w:t xml:space="preserve"> </w:t>
      </w:r>
      <w:r>
        <w:t xml:space="preserve">REST API</w:t>
      </w:r>
      <w:r>
        <w:t xml:space="preserve"> </w:t>
      </w:r>
      <w:r>
        <w:t xml:space="preserve">(</w:t>
      </w:r>
      <w:r>
        <w:t xml:space="preserve">Gao et al.</w:t>
      </w:r>
      <w:r>
        <w:t xml:space="preserve"> </w:t>
      </w:r>
      <w:r>
        <w:t xml:space="preserve">2013)</w:t>
      </w:r>
      <w:r>
        <w:t xml:space="preserve">. The full cohort of</w:t>
      </w:r>
      <w:r>
        <w:t xml:space="preserve"> </w:t>
      </w:r>
      <m:oMath>
        <m:r>
          <m:t>n</m:t>
        </m:r>
      </m:oMath>
      <w:r>
        <w:t xml:space="preserve"> </w:t>
      </w:r>
      <w:r>
        <w:t xml:space="preserve">= 1,980 patients (1,143 OS events) was used;</w:t>
      </w:r>
      <w:r>
        <w:t xml:space="preserve"> </w:t>
      </w:r>
      <w:r>
        <w:t xml:space="preserve">PAM50 subtype, age, and Nottingham Prognostic Index (NPI) were used as covariates.</w:t>
      </w:r>
    </w:p>
    <w:p>
      <w:pPr>
        <w:pStyle w:val="BodyText"/>
      </w:pPr>
      <w:r>
        <w:rPr>
          <w:b/>
          <w:bCs/>
        </w:rPr>
        <w:t xml:space="preserve">Shiao et al. 2024 (scRNA-seq immune checkpoint blockade [ICB] dataset).</w:t>
      </w:r>
      <w:r>
        <w:t xml:space="preserve"> </w:t>
      </w:r>
      <w:r>
        <w:t xml:space="preserve">GSE246613</w:t>
      </w:r>
      <w:r>
        <w:t xml:space="preserve"> </w:t>
      </w:r>
      <w:r>
        <w:t xml:space="preserve">(</w:t>
      </w:r>
      <w:r>
        <w:t xml:space="preserve">Shiao et al.</w:t>
      </w:r>
      <w:r>
        <w:t xml:space="preserve"> </w:t>
      </w:r>
      <w:r>
        <w:t xml:space="preserve">2024)</w:t>
      </w:r>
      <w:r>
        <w:t xml:space="preserve"> </w:t>
      </w:r>
      <w:r>
        <w:t xml:space="preserve">comprises scRNA-seq</w:t>
      </w:r>
      <w:r>
        <w:t xml:space="preserve"> </w:t>
      </w:r>
      <w:r>
        <w:t xml:space="preserve">profiles from 35 TNBC patients treated with pembrolizumab ± radiotherapy (3 timepoints:</w:t>
      </w:r>
      <w:r>
        <w:t xml:space="preserve"> </w:t>
      </w:r>
      <w:r>
        <w:t xml:space="preserve">baseline, post-PD-1 blockade, post-RT+PD-1). The h5ad file contains 342,749 immune cells</w:t>
      </w:r>
      <w:r>
        <w:t xml:space="preserve"> </w:t>
      </w:r>
      <w:r>
        <w:t xml:space="preserve">× 36,601 genes. Pathological complete response (pCR: R/NR) and residual cancer burden</w:t>
      </w:r>
      <w:r>
        <w:t xml:space="preserve"> </w:t>
      </w:r>
      <w:r>
        <w:t xml:space="preserve">(RCB, 0–3) were embedded in the cell-level metadata. To minimise memory footprint, data</w:t>
      </w:r>
      <w:r>
        <w:t xml:space="preserve"> </w:t>
      </w:r>
      <w:r>
        <w:t xml:space="preserve">were loaded with</w:t>
      </w:r>
      <w:r>
        <w:t xml:space="preserve"> </w:t>
      </w:r>
      <w:r>
        <w:rPr>
          <w:rStyle w:val="VerbatimChar"/>
        </w:rPr>
        <w:t xml:space="preserve">backed='r'</w:t>
      </w:r>
      <w:r>
        <w:t xml:space="preserve"> </w:t>
      </w:r>
      <w:r>
        <w:t xml:space="preserve">and subset to 22 target genes plus 500 randomly selected</w:t>
      </w:r>
      <w:r>
        <w:t xml:space="preserve"> </w:t>
      </w:r>
      <w:r>
        <w:t xml:space="preserve">background genes before materialising in memory (peak RAM &lt; 200 MB).</w:t>
      </w:r>
    </w:p>
    <w:bookmarkEnd w:id="10"/>
    <w:bookmarkStart w:id="11" w:name="tls-detection"/>
    <w:p>
      <w:pPr>
        <w:pStyle w:val="Heading2"/>
      </w:pPr>
      <w:r>
        <w:t xml:space="preserve">TLS Detection</w:t>
      </w:r>
    </w:p>
    <w:p>
      <w:pPr>
        <w:pStyle w:val="FirstParagraph"/>
      </w:pPr>
      <w:r>
        <w:t xml:space="preserve">H&amp;E WSIs were preprocessed for HookNet-TLS</w:t>
      </w:r>
      <w:r>
        <w:t xml:space="preserve"> </w:t>
      </w:r>
      <w:r>
        <w:t xml:space="preserve">(</w:t>
      </w:r>
      <w:r>
        <w:t xml:space="preserve">Rijthoven et al.</w:t>
      </w:r>
      <w:r>
        <w:t xml:space="preserve"> </w:t>
      </w:r>
      <w:r>
        <w:t xml:space="preserve">2024)</w:t>
      </w:r>
      <w:r>
        <w:t xml:space="preserve"> </w:t>
      </w:r>
      <w:r>
        <w:t xml:space="preserve">using the ASAP pyramidal TIFF</w:t>
      </w:r>
      <w:r>
        <w:t xml:space="preserve"> </w:t>
      </w:r>
      <w:r>
        <w:t xml:space="preserve">format at 0.5 µm/px. The HEST TIFFs lack embedded pixel spacing metadata readable by ASAP;</w:t>
      </w:r>
      <w:r>
        <w:t xml:space="preserve"> </w:t>
      </w:r>
      <w:r>
        <w:t xml:space="preserve">pixel size was supplied from the HEST metadata field</w:t>
      </w:r>
      <w:r>
        <w:t xml:space="preserve"> </w:t>
      </w:r>
      <w:r>
        <w:rPr>
          <w:rStyle w:val="VerbatimChar"/>
        </w:rPr>
        <w:t xml:space="preserve">pixel_size_um_estimated</w:t>
      </w:r>
      <w:r>
        <w:t xml:space="preserve">. Model inference</w:t>
      </w:r>
      <w:r>
        <w:t xml:space="preserve"> </w:t>
      </w:r>
      <w:r>
        <w:t xml:space="preserve">was accelerated using PyTorch (CUDA runtime version 12.4) on an NVIDIA GTX 1660 Ti GPU.</w:t>
      </w:r>
    </w:p>
    <w:p>
      <w:pPr>
        <w:pStyle w:val="BodyText"/>
      </w:pPr>
      <w:r>
        <w:t xml:space="preserve">TLS polygons were filtered at confidence_count</w:t>
      </w:r>
      <w:r>
        <w:t xml:space="preserve"> </w:t>
      </w:r>
      <m:oMath>
        <m:r>
          <m:rPr>
            <m:sty m:val="p"/>
          </m:rPr>
          <m:t>≥</m:t>
        </m:r>
      </m:oMath>
      <w:r>
        <w:t xml:space="preserve"> </w:t>
      </w:r>
      <w:r>
        <w:t xml:space="preserve">354 (minimum area 31,329 µm</w:t>
      </w:r>
      <m:oMath>
        <m:sSup>
          <m:e>
            <m:r>
              <m:t>​</m:t>
            </m:r>
          </m:e>
          <m:sup>
            <m:r>
              <m:t>2</m:t>
            </m:r>
          </m:sup>
        </m:sSup>
      </m:oMath>
      <w:r>
        <w:t xml:space="preserve">,</w:t>
      </w:r>
      <w:r>
        <w:t xml:space="preserve"> </w:t>
      </w:r>
      <w:r>
        <w:t xml:space="preserve">equivalent to ~200 µm diameter), a threshold grounded in the published minimum TLS size</w:t>
      </w:r>
      <w:r>
        <w:t xml:space="preserve"> </w:t>
      </w:r>
      <w:r>
        <w:t xml:space="preserve">(</w:t>
      </w:r>
      <w:r>
        <w:t xml:space="preserve">Coppola et al.</w:t>
      </w:r>
      <w:r>
        <w:t xml:space="preserve"> </w:t>
      </w:r>
      <w:r>
        <w:t xml:space="preserve">2011)</w:t>
      </w:r>
      <w:r>
        <w:t xml:space="preserve">. The original HookNet-TLS upstream default (cc = 147, area ~1,225 µm</w:t>
      </w:r>
      <m:oMath>
        <m:sSup>
          <m:e>
            <m:r>
              <m:t>​</m:t>
            </m:r>
          </m:e>
          <m:sup>
            <m:r>
              <m:t>2</m:t>
            </m:r>
          </m:sup>
        </m:sSup>
      </m:oMath>
      <w:r>
        <w:t xml:space="preserve">)</w:t>
      </w:r>
      <w:r>
        <w:t xml:space="preserve"> </w:t>
      </w:r>
      <w:r>
        <w:t xml:space="preserve">allowed single-cell clusters to pass; cc = 354 restricts detection to structures at least</w:t>
      </w:r>
      <w:r>
        <w:t xml:space="preserve"> </w:t>
      </w:r>
      <w:r>
        <w:t xml:space="preserve">consistent with a nascent lymphoid aggregate. Large polygons (area &gt; 1 mm²) were split into sub-instances by watershed segmentation</w:t>
      </w:r>
      <w:r>
        <w:t xml:space="preserve"> </w:t>
      </w:r>
      <w:r>
        <w:t xml:space="preserve">on the TLS probability heatmap (Gaussian</w:t>
      </w:r>
      <w:r>
        <w:t xml:space="preserve"> </w:t>
      </w:r>
      <m:oMath>
        <m:r>
          <m:t>σ</m:t>
        </m:r>
      </m:oMath>
      <w:r>
        <w:t xml:space="preserve"> </w:t>
      </w:r>
      <w:r>
        <w:t xml:space="preserve">= 100 µm, minimum inter-centre distance</w:t>
      </w:r>
      <w:r>
        <w:t xml:space="preserve"> </w:t>
      </w:r>
      <w:r>
        <w:t xml:space="preserve">= 300 µm). Samples from lymph node tissue (</w:t>
      </w:r>
      <m:oMath>
        <m:r>
          <m:t>n</m:t>
        </m:r>
      </m:oMath>
      <w:r>
        <w:t xml:space="preserve"> </w:t>
      </w:r>
      <w:r>
        <w:t xml:space="preserve">= 52) were excluded, as lymph nodes</w:t>
      </w:r>
      <w:r>
        <w:t xml:space="preserve"> </w:t>
      </w:r>
      <w:r>
        <w:t xml:space="preserve">constitute organised secondary lymphoid organs rather than ectopic TLS. A further 13</w:t>
      </w:r>
      <w:r>
        <w:t xml:space="preserve"> </w:t>
      </w:r>
      <w:r>
        <w:t xml:space="preserve">samples sharing WSI slide fingerprints with other samples were flagged as duplicates and</w:t>
      </w:r>
      <w:r>
        <w:t xml:space="preserve"> </w:t>
      </w:r>
      <w:r>
        <w:t xml:space="preserve">excluded. Instances with at least one co-registered ST spot were retained, yielding 747</w:t>
      </w:r>
      <w:r>
        <w:t xml:space="preserve"> </w:t>
      </w:r>
      <w:r>
        <w:t xml:space="preserve">TLS instances across 119 samples, of which 670 entered the clustering after the BC23803</w:t>
      </w:r>
      <w:r>
        <w:t xml:space="preserve"> </w:t>
      </w:r>
      <w:r>
        <w:t xml:space="preserve">and BC23377 exclusions (see Supplementary Note).</w:t>
      </w:r>
    </w:p>
    <w:p>
      <w:pPr>
        <w:pStyle w:val="BodyText"/>
      </w:pPr>
      <w:r>
        <w:t xml:space="preserve">ST spots co-registered with each TLS polygon and within a 300 μm microenvironmental ring</w:t>
      </w:r>
      <w:r>
        <w:t xml:space="preserve"> </w:t>
      </w:r>
      <w:r>
        <w:t xml:space="preserve">(neighbourhood) were extracted per-instance. For the legacy Spatial Transcriptomics series, original Ensembl IDs were converted to official</w:t>
      </w:r>
      <w:r>
        <w:t xml:space="preserve"> </w:t>
      </w:r>
      <w:r>
        <w:t xml:space="preserve">HGNC symbols using a BioMart-derived mapping table. All subsequent scoring was performed on</w:t>
      </w:r>
      <w:r>
        <w:t xml:space="preserve"> </w:t>
      </w:r>
      <m:oMath>
        <m:r>
          <m:rPr>
            <m:sty m:val="p"/>
          </m:rPr>
          <m:t>log</m:t>
        </m:r>
        <m:r>
          <m:rPr>
            <m:sty m:val="p"/>
          </m:rPr>
          <m:t>(</m:t>
        </m:r>
        <m:r>
          <m:t>1</m:t>
        </m:r>
        <m:r>
          <m:rPr>
            <m:sty m:val="p"/>
          </m:rPr>
          <m:t>+</m:t>
        </m:r>
        <m:r>
          <m:rPr>
            <m:nor/>
            <m:sty m:val="p"/>
          </m:rPr>
          <m:t>CPM</m:t>
        </m:r>
        <m:r>
          <m:rPr>
            <m:sty m:val="p"/>
          </m:rPr>
          <m:t>)</m:t>
        </m:r>
      </m:oMath>
      <w:r>
        <w:t xml:space="preserve">-normalised counts; genes absent from a given sample’s panel contribute</w:t>
      </w:r>
      <w:r>
        <w:t xml:space="preserve"> </w:t>
      </w:r>
      <w:r>
        <w:t xml:space="preserve">zero to that sample’s module scores.</w:t>
      </w:r>
    </w:p>
    <w:bookmarkEnd w:id="11"/>
    <w:bookmarkStart w:id="12" w:name="per-instance-feature-matrix"/>
    <w:p>
      <w:pPr>
        <w:pStyle w:val="Heading2"/>
      </w:pPr>
      <w:r>
        <w:t xml:space="preserve">Per-Instance Feature Matrix</w:t>
      </w:r>
    </w:p>
    <w:p>
      <w:pPr>
        <w:pStyle w:val="FirstParagraph"/>
      </w:pPr>
      <w:r>
        <w:t xml:space="preserve">Twelve features were computed per TLS instance (Table</w:t>
      </w:r>
      <w:r>
        <w:t xml:space="preserve"> </w:t>
      </w:r>
      <w:r>
        <w:t xml:space="preserve">):</w:t>
      </w:r>
    </w:p>
    <w:p>
      <w:pPr>
        <w:pStyle w:val="BodyText"/>
      </w:pPr>
      <w:r>
        <w:t xml:space="preserve"> </w:t>
      </w:r>
      <w:r>
        <w:t xml:space="preserve">Each score is the</w:t>
      </w:r>
      <w:r>
        <w:t xml:space="preserve"> </w:t>
      </w:r>
      <w:r>
        <w:t xml:space="preserve">mean</w:t>
      </w:r>
      <w:r>
        <w:t xml:space="preserve"> </w:t>
      </w:r>
      <w:r>
        <w:rPr>
          <w:rStyle w:val="VerbatimChar"/>
        </w:rPr>
        <w:t xml:space="preserve">sc.tl.score_genes</w:t>
      </w:r>
      <w:r>
        <w:t xml:space="preserve"> </w:t>
      </w:r>
      <w:r>
        <w:t xml:space="preserve">value</w:t>
      </w:r>
      <w:r>
        <w:t xml:space="preserve"> </w:t>
      </w:r>
      <w:r>
        <w:t xml:space="preserve">(Wolf et al. 2018)</w:t>
      </w:r>
      <w:r>
        <w:t xml:space="preserve"> </w:t>
      </w:r>
      <w:r>
        <w:t xml:space="preserve">over in-TLS spots using the gene sets below.</w:t>
      </w:r>
      <w:r>
        <w:t xml:space="preserve"> </w:t>
      </w:r>
      <w:r>
        <w:t xml:space="preserve">Spots with zero coverage in any module gene are zero by definition; missing genes absent</w:t>
      </w:r>
      <w:r>
        <w:t xml:space="preserve"> </w:t>
      </w:r>
      <w:r>
        <w:t xml:space="preserve">from all samples are excluded.</w:t>
      </w:r>
    </w:p>
    <w:p>
      <w:pPr>
        <w:pStyle w:val="Compact"/>
        <w:numPr>
          <w:ilvl w:val="0"/>
          <w:numId w:val="1001"/>
        </w:numPr>
      </w:pPr>
      <w:r>
        <w:rPr>
          <w:b/>
          <w:bCs/>
        </w:rPr>
        <w:t xml:space="preserve">GC score</w:t>
      </w:r>
      <w:r>
        <w:t xml:space="preserve">:</w:t>
      </w:r>
      <w:r>
        <w:t xml:space="preserve"> </w:t>
      </w:r>
      <w:r>
        <w:rPr>
          <w:i/>
          <w:iCs/>
        </w:rPr>
        <w:t xml:space="preserve">BCL6</w:t>
      </w:r>
      <w:r>
        <w:t xml:space="preserve">,</w:t>
      </w:r>
      <w:r>
        <w:t xml:space="preserve"> </w:t>
      </w:r>
      <w:r>
        <w:rPr>
          <w:i/>
          <w:iCs/>
        </w:rPr>
        <w:t xml:space="preserve">AICDA</w:t>
      </w:r>
      <w:r>
        <w:t xml:space="preserve">,</w:t>
      </w:r>
      <w:r>
        <w:t xml:space="preserve"> </w:t>
      </w:r>
      <w:r>
        <w:rPr>
          <w:i/>
          <w:iCs/>
        </w:rPr>
        <w:t xml:space="preserve">ELL3</w:t>
      </w:r>
      <w:r>
        <w:t xml:space="preserve">,</w:t>
      </w:r>
      <w:r>
        <w:t xml:space="preserve"> </w:t>
      </w:r>
      <w:r>
        <w:rPr>
          <w:i/>
          <w:iCs/>
        </w:rPr>
        <w:t xml:space="preserve">MYBL1</w:t>
      </w:r>
      <w:r>
        <w:t xml:space="preserve">,</w:t>
      </w:r>
      <w:r>
        <w:t xml:space="preserve"> </w:t>
      </w:r>
      <w:r>
        <w:rPr>
          <w:i/>
          <w:iCs/>
        </w:rPr>
        <w:t xml:space="preserve">CXCR4</w:t>
      </w:r>
    </w:p>
    <w:p>
      <w:pPr>
        <w:pStyle w:val="Compact"/>
        <w:numPr>
          <w:ilvl w:val="0"/>
          <w:numId w:val="1001"/>
        </w:numPr>
      </w:pPr>
      <w:r>
        <w:rPr>
          <w:b/>
          <w:bCs/>
        </w:rPr>
        <w:t xml:space="preserve">Tfh score</w:t>
      </w:r>
      <w:r>
        <w:t xml:space="preserve">:</w:t>
      </w:r>
      <w:r>
        <w:t xml:space="preserve"> </w:t>
      </w:r>
      <w:r>
        <w:rPr>
          <w:i/>
          <w:iCs/>
        </w:rPr>
        <w:t xml:space="preserve">CXCL13</w:t>
      </w:r>
      <w:r>
        <w:t xml:space="preserve">,</w:t>
      </w:r>
      <w:r>
        <w:t xml:space="preserve"> </w:t>
      </w:r>
      <w:r>
        <w:rPr>
          <w:i/>
          <w:iCs/>
        </w:rPr>
        <w:t xml:space="preserve">CXCR5</w:t>
      </w:r>
      <w:r>
        <w:t xml:space="preserve">,</w:t>
      </w:r>
      <w:r>
        <w:t xml:space="preserve"> </w:t>
      </w:r>
      <w:r>
        <w:rPr>
          <w:i/>
          <w:iCs/>
        </w:rPr>
        <w:t xml:space="preserve">ICOS</w:t>
      </w:r>
      <w:r>
        <w:t xml:space="preserve">,</w:t>
      </w:r>
      <w:r>
        <w:t xml:space="preserve"> </w:t>
      </w:r>
      <w:r>
        <w:rPr>
          <w:i/>
          <w:iCs/>
        </w:rPr>
        <w:t xml:space="preserve">IL21</w:t>
      </w:r>
      <w:r>
        <w:t xml:space="preserve">,</w:t>
      </w:r>
      <w:r>
        <w:t xml:space="preserve"> </w:t>
      </w:r>
      <w:r>
        <w:rPr>
          <w:i/>
          <w:iCs/>
        </w:rPr>
        <w:t xml:space="preserve">TOX2</w:t>
      </w:r>
    </w:p>
    <w:p>
      <w:pPr>
        <w:pStyle w:val="Compact"/>
        <w:numPr>
          <w:ilvl w:val="0"/>
          <w:numId w:val="1001"/>
        </w:numPr>
      </w:pPr>
      <w:r>
        <w:rPr>
          <w:b/>
          <w:bCs/>
        </w:rPr>
        <w:t xml:space="preserve">Plasma score</w:t>
      </w:r>
      <w:r>
        <w:t xml:space="preserve">:</w:t>
      </w:r>
      <w:r>
        <w:t xml:space="preserve"> </w:t>
      </w:r>
      <w:r>
        <w:rPr>
          <w:i/>
          <w:iCs/>
        </w:rPr>
        <w:t xml:space="preserve">IGHG1</w:t>
      </w:r>
      <w:r>
        <w:t xml:space="preserve">,</w:t>
      </w:r>
      <w:r>
        <w:t xml:space="preserve"> </w:t>
      </w:r>
      <w:r>
        <w:rPr>
          <w:i/>
          <w:iCs/>
        </w:rPr>
        <w:t xml:space="preserve">IGHG3</w:t>
      </w:r>
      <w:r>
        <w:t xml:space="preserve">,</w:t>
      </w:r>
      <w:r>
        <w:t xml:space="preserve"> </w:t>
      </w:r>
      <w:r>
        <w:rPr>
          <w:i/>
          <w:iCs/>
        </w:rPr>
        <w:t xml:space="preserve">IGHA1</w:t>
      </w:r>
      <w:r>
        <w:t xml:space="preserve">,</w:t>
      </w:r>
      <w:r>
        <w:t xml:space="preserve"> </w:t>
      </w:r>
      <w:r>
        <w:rPr>
          <w:i/>
          <w:iCs/>
        </w:rPr>
        <w:t xml:space="preserve">JCHAIN</w:t>
      </w:r>
      <w:r>
        <w:t xml:space="preserve">,</w:t>
      </w:r>
      <w:r>
        <w:t xml:space="preserve"> </w:t>
      </w:r>
      <w:r>
        <w:rPr>
          <w:i/>
          <w:iCs/>
        </w:rPr>
        <w:t xml:space="preserve">MZB1</w:t>
      </w:r>
    </w:p>
    <w:p>
      <w:pPr>
        <w:pStyle w:val="Compact"/>
        <w:numPr>
          <w:ilvl w:val="0"/>
          <w:numId w:val="1001"/>
        </w:numPr>
      </w:pPr>
      <w:r>
        <w:rPr>
          <w:b/>
          <w:bCs/>
        </w:rPr>
        <w:t xml:space="preserve">HEV score</w:t>
      </w:r>
      <w:r>
        <w:t xml:space="preserve">:</w:t>
      </w:r>
      <w:r>
        <w:t xml:space="preserve"> </w:t>
      </w:r>
      <w:r>
        <w:rPr>
          <w:i/>
          <w:iCs/>
        </w:rPr>
        <w:t xml:space="preserve">ACKR1</w:t>
      </w:r>
      <w:r>
        <w:t xml:space="preserve">,</w:t>
      </w:r>
      <w:r>
        <w:t xml:space="preserve"> </w:t>
      </w:r>
      <w:r>
        <w:rPr>
          <w:i/>
          <w:iCs/>
        </w:rPr>
        <w:t xml:space="preserve">SELP</w:t>
      </w:r>
      <w:r>
        <w:t xml:space="preserve">,</w:t>
      </w:r>
      <w:r>
        <w:t xml:space="preserve"> </w:t>
      </w:r>
      <w:r>
        <w:rPr>
          <w:i/>
          <w:iCs/>
        </w:rPr>
        <w:t xml:space="preserve">CCL21</w:t>
      </w:r>
      <w:r>
        <w:t xml:space="preserve">,</w:t>
      </w:r>
      <w:r>
        <w:t xml:space="preserve"> </w:t>
      </w:r>
      <w:r>
        <w:rPr>
          <w:i/>
          <w:iCs/>
        </w:rPr>
        <w:t xml:space="preserve">CXCL12</w:t>
      </w:r>
      <w:r>
        <w:t xml:space="preserve"> </w:t>
      </w:r>
      <w:r>
        <w:t xml:space="preserve">(GLYCAM1 absent from all samples)</w:t>
      </w:r>
    </w:p>
    <w:p>
      <w:pPr>
        <w:pStyle w:val="Compact"/>
        <w:numPr>
          <w:ilvl w:val="0"/>
          <w:numId w:val="1001"/>
        </w:numPr>
      </w:pPr>
      <w:r>
        <w:rPr>
          <w:b/>
          <w:bCs/>
        </w:rPr>
        <w:t xml:space="preserve">Suppressive score</w:t>
      </w:r>
      <w:r>
        <w:t xml:space="preserve">:</w:t>
      </w:r>
      <w:r>
        <w:t xml:space="preserve"> </w:t>
      </w:r>
      <w:r>
        <w:rPr>
          <w:i/>
          <w:iCs/>
        </w:rPr>
        <w:t xml:space="preserve">FOXP3</w:t>
      </w:r>
      <w:r>
        <w:t xml:space="preserve">,</w:t>
      </w:r>
      <w:r>
        <w:t xml:space="preserve"> </w:t>
      </w:r>
      <w:r>
        <w:rPr>
          <w:i/>
          <w:iCs/>
        </w:rPr>
        <w:t xml:space="preserve">IL2RA</w:t>
      </w:r>
      <w:r>
        <w:t xml:space="preserve">,</w:t>
      </w:r>
      <w:r>
        <w:t xml:space="preserve"> </w:t>
      </w:r>
      <w:r>
        <w:rPr>
          <w:i/>
          <w:iCs/>
        </w:rPr>
        <w:t xml:space="preserve">CTLA4</w:t>
      </w:r>
      <w:r>
        <w:t xml:space="preserve">,</w:t>
      </w:r>
      <w:r>
        <w:t xml:space="preserve"> </w:t>
      </w:r>
      <w:r>
        <w:rPr>
          <w:i/>
          <w:iCs/>
        </w:rPr>
        <w:t xml:space="preserve">TGFB1</w:t>
      </w:r>
      <w:r>
        <w:t xml:space="preserve">,</w:t>
      </w:r>
      <w:r>
        <w:t xml:space="preserve"> </w:t>
      </w:r>
      <w:r>
        <w:rPr>
          <w:i/>
          <w:iCs/>
        </w:rPr>
        <w:t xml:space="preserve">IL10</w:t>
      </w:r>
    </w:p>
    <w:p>
      <w:pPr>
        <w:pStyle w:val="Compact"/>
        <w:numPr>
          <w:ilvl w:val="0"/>
          <w:numId w:val="1001"/>
        </w:numPr>
      </w:pPr>
      <w:r>
        <w:rPr>
          <w:b/>
          <w:bCs/>
        </w:rPr>
        <w:t xml:space="preserve">Myeloid-suppressive score</w:t>
      </w:r>
      <w:r>
        <w:t xml:space="preserve">:</w:t>
      </w:r>
      <w:r>
        <w:t xml:space="preserve"> </w:t>
      </w:r>
      <w:r>
        <w:rPr>
          <w:i/>
          <w:iCs/>
        </w:rPr>
        <w:t xml:space="preserve">ARG1</w:t>
      </w:r>
      <w:r>
        <w:t xml:space="preserve">,</w:t>
      </w:r>
      <w:r>
        <w:t xml:space="preserve"> </w:t>
      </w:r>
      <w:r>
        <w:rPr>
          <w:i/>
          <w:iCs/>
        </w:rPr>
        <w:t xml:space="preserve">IL10</w:t>
      </w:r>
      <w:r>
        <w:t xml:space="preserve">,</w:t>
      </w:r>
      <w:r>
        <w:t xml:space="preserve"> </w:t>
      </w:r>
      <w:r>
        <w:rPr>
          <w:i/>
          <w:iCs/>
        </w:rPr>
        <w:t xml:space="preserve">CD274</w:t>
      </w:r>
      <w:r>
        <w:t xml:space="preserve">,</w:t>
      </w:r>
      <w:r>
        <w:t xml:space="preserve"> </w:t>
      </w:r>
      <w:r>
        <w:rPr>
          <w:i/>
          <w:iCs/>
        </w:rPr>
        <w:t xml:space="preserve">IDO1</w:t>
      </w:r>
      <w:r>
        <w:t xml:space="preserve">,</w:t>
      </w:r>
      <w:r>
        <w:t xml:space="preserve"> </w:t>
      </w:r>
      <w:r>
        <w:rPr>
          <w:i/>
          <w:iCs/>
        </w:rPr>
        <w:t xml:space="preserve">MRC1</w:t>
      </w:r>
    </w:p>
    <w:p>
      <w:pPr>
        <w:pStyle w:val="Compact"/>
        <w:numPr>
          <w:ilvl w:val="0"/>
          <w:numId w:val="1001"/>
        </w:numPr>
      </w:pPr>
      <w:r>
        <w:rPr>
          <w:b/>
          <w:bCs/>
        </w:rPr>
        <w:t xml:space="preserve">Cytotoxic score</w:t>
      </w:r>
      <w:r>
        <w:t xml:space="preserve">:</w:t>
      </w:r>
      <w:r>
        <w:t xml:space="preserve"> </w:t>
      </w:r>
      <w:r>
        <w:rPr>
          <w:i/>
          <w:iCs/>
        </w:rPr>
        <w:t xml:space="preserve">GZMB</w:t>
      </w:r>
      <w:r>
        <w:t xml:space="preserve">,</w:t>
      </w:r>
      <w:r>
        <w:t xml:space="preserve"> </w:t>
      </w:r>
      <w:r>
        <w:rPr>
          <w:i/>
          <w:iCs/>
        </w:rPr>
        <w:t xml:space="preserve">PRF1</w:t>
      </w:r>
      <w:r>
        <w:t xml:space="preserve">,</w:t>
      </w:r>
      <w:r>
        <w:t xml:space="preserve"> </w:t>
      </w:r>
      <w:r>
        <w:rPr>
          <w:i/>
          <w:iCs/>
        </w:rPr>
        <w:t xml:space="preserve">IFNG</w:t>
      </w:r>
      <w:r>
        <w:t xml:space="preserve">,</w:t>
      </w:r>
      <w:r>
        <w:t xml:space="preserve"> </w:t>
      </w:r>
      <w:r>
        <w:rPr>
          <w:i/>
          <w:iCs/>
        </w:rPr>
        <w:t xml:space="preserve">GNLY</w:t>
      </w:r>
      <w:r>
        <w:t xml:space="preserve">,</w:t>
      </w:r>
      <w:r>
        <w:t xml:space="preserve"> </w:t>
      </w:r>
      <w:r>
        <w:rPr>
          <w:i/>
          <w:iCs/>
        </w:rPr>
        <w:t xml:space="preserve">NKG7</w:t>
      </w:r>
    </w:p>
    <w:p>
      <w:pPr>
        <w:pStyle w:val="FirstParagraph"/>
      </w:pPr>
      <w:r>
        <w:t xml:space="preserve"> </w:t>
      </w:r>
      <w:r>
        <w:t xml:space="preserve">Eight local Moran’s I</w:t>
      </w:r>
      <w:r>
        <w:t xml:space="preserve"> </w:t>
      </w:r>
      <w:r>
        <w:t xml:space="preserve">statistics (BCL6, AICDA, FOXP3, CXCL13, IGHG1, S100A9, ACKR1, CCL21 per TLS spot) were</w:t>
      </w:r>
      <w:r>
        <w:t xml:space="preserve"> </w:t>
      </w:r>
      <w:r>
        <w:t xml:space="preserve">computed but excluded from the final feature set for three reasons: mean values were near</w:t>
      </w:r>
      <w:r>
        <w:t xml:space="preserve"> </w:t>
      </w:r>
      <w:r>
        <w:t xml:space="preserve">zero (−0.07 to −0.10), NaN rates were 57–99% (75th percentile of in-TLS spots = 15; spatial</w:t>
      </w:r>
      <w:r>
        <w:t xml:space="preserve"> </w:t>
      </w:r>
      <w:r>
        <w:t xml:space="preserve">statistics require</w:t>
      </w:r>
      <w:r>
        <w:t xml:space="preserve"> </w:t>
      </w:r>
      <m:oMath>
        <m:r>
          <m:rPr>
            <m:sty m:val="p"/>
          </m:rPr>
          <m:t>≥</m:t>
        </m:r>
      </m:oMath>
      <w:r>
        <w:t xml:space="preserve"> </w:t>
      </w:r>
      <w:r>
        <w:t xml:space="preserve">4 neighbours), and within-TLS spatial structure at Visium 100 µm</w:t>
      </w:r>
      <w:r>
        <w:t xml:space="preserve"> </w:t>
      </w:r>
      <w:r>
        <w:t xml:space="preserve">resolution is below the scale at which these markers organise.</w:t>
      </w:r>
    </w:p>
    <w:p>
      <w:pPr>
        <w:pStyle w:val="BodyText"/>
      </w:pPr>
      <w:r>
        <w:t xml:space="preserve"> </w:t>
      </w:r>
      <w:r>
        <w:t xml:space="preserve">Computed on spots</w:t>
      </w:r>
      <w:r>
        <w:t xml:space="preserve"> </w:t>
      </w:r>
      <w:r>
        <w:t xml:space="preserve">in the 300 µm ring outside each TLS:</w:t>
      </w:r>
    </w:p>
    <w:p>
      <w:pPr>
        <w:pStyle w:val="Compact"/>
        <w:numPr>
          <w:ilvl w:val="0"/>
          <w:numId w:val="1002"/>
        </w:numPr>
      </w:pPr>
      <w:r>
        <w:rPr>
          <w:b/>
          <w:bCs/>
        </w:rPr>
        <w:t xml:space="preserve">TGFB1 score</w:t>
      </w:r>
      <w:r>
        <w:t xml:space="preserve"> </w:t>
      </w:r>
      <w:r>
        <w:t xml:space="preserve">(</w:t>
      </w:r>
      <w:r>
        <w:rPr>
          <w:i/>
          <w:iCs/>
        </w:rPr>
        <w:t xml:space="preserve">TGFB1</w:t>
      </w:r>
      <w:r>
        <w:t xml:space="preserve">)</w:t>
      </w:r>
    </w:p>
    <w:p>
      <w:pPr>
        <w:pStyle w:val="Compact"/>
        <w:numPr>
          <w:ilvl w:val="0"/>
          <w:numId w:val="1002"/>
        </w:numPr>
      </w:pPr>
      <w:r>
        <w:rPr>
          <w:b/>
          <w:bCs/>
        </w:rPr>
        <w:t xml:space="preserve">VEGFA score</w:t>
      </w:r>
      <w:r>
        <w:t xml:space="preserve"> </w:t>
      </w:r>
      <w:r>
        <w:t xml:space="preserve">(</w:t>
      </w:r>
      <w:r>
        <w:rPr>
          <w:i/>
          <w:iCs/>
        </w:rPr>
        <w:t xml:space="preserve">VEGFA</w:t>
      </w:r>
      <w:r>
        <w:t xml:space="preserve">)</w:t>
      </w:r>
    </w:p>
    <w:p>
      <w:pPr>
        <w:pStyle w:val="Compact"/>
        <w:numPr>
          <w:ilvl w:val="0"/>
          <w:numId w:val="1002"/>
        </w:numPr>
      </w:pPr>
      <w:r>
        <w:rPr>
          <w:b/>
          <w:bCs/>
        </w:rPr>
        <w:t xml:space="preserve">CD8A score</w:t>
      </w:r>
      <w:r>
        <w:t xml:space="preserve"> </w:t>
      </w:r>
      <w:r>
        <w:t xml:space="preserve">(</w:t>
      </w:r>
      <w:r>
        <w:rPr>
          <w:i/>
          <w:iCs/>
        </w:rPr>
        <w:t xml:space="preserve">CD8A</w:t>
      </w:r>
      <w:r>
        <w:t xml:space="preserve">)</w:t>
      </w:r>
    </w:p>
    <w:p>
      <w:pPr>
        <w:pStyle w:val="Compact"/>
        <w:numPr>
          <w:ilvl w:val="0"/>
          <w:numId w:val="1002"/>
        </w:numPr>
      </w:pPr>
      <w:r>
        <w:rPr>
          <w:b/>
          <w:bCs/>
        </w:rPr>
        <w:t xml:space="preserve">Tumour fraction</w:t>
      </w:r>
      <w:r>
        <w:t xml:space="preserve"> </w:t>
      </w:r>
      <w:r>
        <w:t xml:space="preserve">(mean of</w:t>
      </w:r>
      <w:r>
        <w:t xml:space="preserve"> </w:t>
      </w:r>
      <w:r>
        <w:rPr>
          <w:i/>
          <w:iCs/>
        </w:rPr>
        <w:t xml:space="preserve">EPCAM</w:t>
      </w:r>
      <w:r>
        <w:t xml:space="preserve">,</w:t>
      </w:r>
      <w:r>
        <w:t xml:space="preserve"> </w:t>
      </w:r>
      <w:r>
        <w:rPr>
          <w:i/>
          <w:iCs/>
        </w:rPr>
        <w:t xml:space="preserve">KRT8</w:t>
      </w:r>
      <w:r>
        <w:t xml:space="preserve">,</w:t>
      </w:r>
      <w:r>
        <w:t xml:space="preserve"> </w:t>
      </w:r>
      <w:r>
        <w:rPr>
          <w:i/>
          <w:iCs/>
        </w:rPr>
        <w:t xml:space="preserve">KRT18</w:t>
      </w:r>
      <w:r>
        <w:t xml:space="preserve">,</w:t>
      </w:r>
      <w:r>
        <w:t xml:space="preserve"> </w:t>
      </w:r>
      <w:r>
        <w:rPr>
          <w:i/>
          <w:iCs/>
        </w:rPr>
        <w:t xml:space="preserve">KRT19</w:t>
      </w:r>
      <w:r>
        <w:t xml:space="preserve">,</w:t>
      </w:r>
      <w:r>
        <w:t xml:space="preserve"> </w:t>
      </w:r>
      <w:r>
        <w:rPr>
          <w:i/>
          <w:iCs/>
        </w:rPr>
        <w:t xml:space="preserve">CDH1</w:t>
      </w:r>
      <w:r>
        <w:t xml:space="preserve">)</w:t>
      </w:r>
    </w:p>
    <w:p>
      <w:pPr>
        <w:pStyle w:val="Compact"/>
        <w:numPr>
          <w:ilvl w:val="0"/>
          <w:numId w:val="1002"/>
        </w:numPr>
      </w:pPr>
      <w:r>
        <w:rPr>
          <w:b/>
          <w:bCs/>
        </w:rPr>
        <w:t xml:space="preserve">Myeloid fraction</w:t>
      </w:r>
      <w:r>
        <w:t xml:space="preserve"> </w:t>
      </w:r>
      <w:r>
        <w:t xml:space="preserve">(mean of</w:t>
      </w:r>
      <w:r>
        <w:t xml:space="preserve"> </w:t>
      </w:r>
      <w:r>
        <w:rPr>
          <w:i/>
          <w:iCs/>
        </w:rPr>
        <w:t xml:space="preserve">CD68</w:t>
      </w:r>
      <w:r>
        <w:t xml:space="preserve">,</w:t>
      </w:r>
      <w:r>
        <w:t xml:space="preserve"> </w:t>
      </w:r>
      <w:r>
        <w:rPr>
          <w:i/>
          <w:iCs/>
        </w:rPr>
        <w:t xml:space="preserve">CSF1R</w:t>
      </w:r>
      <w:r>
        <w:t xml:space="preserve">,</w:t>
      </w:r>
      <w:r>
        <w:t xml:space="preserve"> </w:t>
      </w:r>
      <w:r>
        <w:rPr>
          <w:i/>
          <w:iCs/>
        </w:rPr>
        <w:t xml:space="preserve">CD14</w:t>
      </w:r>
      <w:r>
        <w:t xml:space="preserve">,</w:t>
      </w:r>
      <w:r>
        <w:t xml:space="preserve"> </w:t>
      </w:r>
      <w:r>
        <w:rPr>
          <w:i/>
          <w:iCs/>
        </w:rPr>
        <w:t xml:space="preserve">LYZ</w:t>
      </w:r>
      <w:r>
        <w:t xml:space="preserve">,</w:t>
      </w:r>
      <w:r>
        <w:t xml:space="preserve"> </w:t>
      </w:r>
      <w:r>
        <w:rPr>
          <w:i/>
          <w:iCs/>
        </w:rPr>
        <w:t xml:space="preserve">S100A8</w:t>
      </w:r>
      <w:r>
        <w:t xml:space="preserve">)</w:t>
      </w:r>
    </w:p>
    <w:bookmarkEnd w:id="12"/>
    <w:bookmarkStart w:id="13" w:name="batch-correction-and-feature-scaling"/>
    <w:p>
      <w:pPr>
        <w:pStyle w:val="Heading2"/>
      </w:pPr>
      <w:r>
        <w:t xml:space="preserve">Batch Correction and Feature Scaling</w:t>
      </w:r>
    </w:p>
    <w:p>
      <w:pPr>
        <w:pStyle w:val="FirstParagraph"/>
      </w:pPr>
      <w:r>
        <w:t xml:space="preserve">Two scaled variants were produced: (i) per-feature z-score only; (ii) ComBat batch</w:t>
      </w:r>
      <w:r>
        <w:t xml:space="preserve"> </w:t>
      </w:r>
      <w:r>
        <w:t xml:space="preserve">correction (batch variable: ST technology; Spatial Transcriptomics 200 µm vs Visium 55/100</w:t>
      </w:r>
      <w:r>
        <w:t xml:space="preserve"> </w:t>
      </w:r>
      <w:r>
        <w:t xml:space="preserve">µm) followed by z-score</w:t>
      </w:r>
      <w:r>
        <w:t xml:space="preserve"> </w:t>
      </w:r>
      <w:r>
        <w:t xml:space="preserve">(Johnson et al. 2007)</w:t>
      </w:r>
      <w:r>
        <w:t xml:space="preserve">. The correction was assessed by silhouette score in</w:t>
      </w:r>
      <w:r>
        <w:t xml:space="preserve"> </w:t>
      </w:r>
      <w:r>
        <w:t xml:space="preserve">UMAP space: uncorrected features showed platform silhouette</w:t>
      </w:r>
      <w:r>
        <w:t xml:space="preserve"> </w:t>
      </w:r>
      <m:oMath>
        <m:r>
          <m:t>s</m:t>
        </m:r>
      </m:oMath>
      <w:r>
        <w:t xml:space="preserve"> </w:t>
      </w:r>
      <w:r>
        <w:t xml:space="preserve">= 0.166, cancer-type</w:t>
      </w:r>
      <w:r>
        <w:t xml:space="preserve"> </w:t>
      </w:r>
      <w:r>
        <w:t xml:space="preserve">silhouette</w:t>
      </w:r>
      <w:r>
        <w:t xml:space="preserve"> </w:t>
      </w:r>
      <m:oMath>
        <m:r>
          <m:t>s</m:t>
        </m:r>
      </m:oMath>
      <w:r>
        <w:t xml:space="preserve"> </w:t>
      </w:r>
      <w:r>
        <w:t xml:space="preserve">= −0.291; ComBat reduced platform signal (</w:t>
      </w:r>
      <m:oMath>
        <m:r>
          <m:t>s</m:t>
        </m:r>
      </m:oMath>
      <w:r>
        <w:t xml:space="preserve"> </w:t>
      </w:r>
      <w:r>
        <w:t xml:space="preserve">= 0.024) but worsened the</w:t>
      </w:r>
      <w:r>
        <w:t xml:space="preserve"> </w:t>
      </w:r>
      <w:r>
        <w:t xml:space="preserve">cancer-type silhouette (</w:t>
      </w:r>
      <m:oMath>
        <m:r>
          <m:t>s</m:t>
        </m:r>
      </m:oMath>
      <w:r>
        <w:t xml:space="preserve"> </w:t>
      </w:r>
      <w:r>
        <w:t xml:space="preserve">= −0.364). The correction is epistemically weak because the</w:t>
      </w:r>
      <w:r>
        <w:t xml:space="preserve"> </w:t>
      </w:r>
      <w:r>
        <w:t xml:space="preserve">only within-cancer-type bridge between platforms is 14 IDC Visium samples against 566 IDC</w:t>
      </w:r>
      <w:r>
        <w:t xml:space="preserve"> </w:t>
      </w:r>
      <w:r>
        <w:t xml:space="preserve">SPA samples; ComBat calibrates the cross-platform shift entirely on this imbalanced anchor,</w:t>
      </w:r>
      <w:r>
        <w:t xml:space="preserve"> </w:t>
      </w:r>
      <w:r>
        <w:t xml:space="preserve">likely removing real IDC biology. The z-score-only variant was used for all clustering and</w:t>
      </w:r>
      <w:r>
        <w:t xml:space="preserve"> </w:t>
      </w:r>
      <w:r>
        <w:t xml:space="preserve">downstream analyses. The negative cancer-type silhouette is biologically expected: TLS</w:t>
      </w:r>
      <w:r>
        <w:t xml:space="preserve"> </w:t>
      </w:r>
      <w:r>
        <w:t xml:space="preserve">functional states cross cancer types, so a cancer-type-driven cluster structure would</w:t>
      </w:r>
      <w:r>
        <w:t xml:space="preserve"> </w:t>
      </w:r>
      <w:r>
        <w:t xml:space="preserve">indicate platform confound, not biology.</w:t>
      </w:r>
    </w:p>
    <w:bookmarkEnd w:id="13"/>
    <w:bookmarkStart w:id="14" w:name="leiden-clustering-and-umap"/>
    <w:p>
      <w:pPr>
        <w:pStyle w:val="Heading2"/>
      </w:pPr>
      <w:r>
        <w:t xml:space="preserve">Leiden Clustering and UMAP</w:t>
      </w:r>
    </w:p>
    <w:p>
      <w:pPr>
        <w:pStyle w:val="FirstParagraph"/>
      </w:pPr>
      <w:r>
        <w:t xml:space="preserve">Nearest-neighbour graph construction (</w:t>
      </w:r>
      <m:oMath>
        <m:r>
          <m:t>k</m:t>
        </m:r>
      </m:oMath>
      <w:r>
        <w:t xml:space="preserve"> </w:t>
      </w:r>
      <w:r>
        <w:t xml:space="preserve">= 15, cosine metric) and Leiden clustering were</w:t>
      </w:r>
      <w:r>
        <w:t xml:space="preserve"> </w:t>
      </w:r>
      <w:r>
        <w:t xml:space="preserve">performed using</w:t>
      </w:r>
      <w:r>
        <w:t xml:space="preserve"> </w:t>
      </w:r>
      <w:r>
        <w:rPr>
          <w:rStyle w:val="VerbatimChar"/>
        </w:rPr>
        <w:t xml:space="preserve">scanpy</w:t>
      </w:r>
      <w:r>
        <w:t xml:space="preserve"> </w:t>
      </w:r>
      <w:r>
        <w:t xml:space="preserve">(Wolf et al. 2018)</w:t>
      </w:r>
      <w:r>
        <w:t xml:space="preserve">. Three resolutions were evaluated (0.1, 0.3, 0.5);</w:t>
      </w:r>
      <w:r>
        <w:t xml:space="preserve"> </w:t>
      </w:r>
      <w:r>
        <w:t xml:space="preserve">cluster stability was assessed by pairwise ARI across 20 random seeds. UMAP embedding was</w:t>
      </w:r>
      <w:r>
        <w:t xml:space="preserve"> </w:t>
      </w:r>
      <w:r>
        <w:t xml:space="preserve">computed with default parameters for visualisation only (not used for clustering).</w:t>
      </w:r>
    </w:p>
    <w:p>
      <w:pPr>
        <w:pStyle w:val="BodyText"/>
      </w:pPr>
      <w:r>
        <w:t xml:space="preserve">Resolution 0.3 was selected as the canonical solution on the basis that it produced the</w:t>
      </w:r>
      <w:r>
        <w:t xml:space="preserve"> </w:t>
      </w:r>
      <w:r>
        <w:t xml:space="preserve">finest granularity at which the immunogenic cluster (C1) remained coherent: it yielded 6</w:t>
      </w:r>
      <w:r>
        <w:t xml:space="preserve"> </w:t>
      </w:r>
      <w:r>
        <w:t xml:space="preserve">biologically interpretable clusters (ARI = 0.83 ± 0.14 across 20 seeds, range 0.46–1.00).</w:t>
      </w:r>
      <w:r>
        <w:t xml:space="preserve"> </w:t>
      </w:r>
      <w:r>
        <w:t xml:space="preserve">At resolution 0.3, instability occurred in two modes: three seeds produced five-cluster solutions through</w:t>
      </w:r>
      <w:r>
        <w:t xml:space="preserve"> </w:t>
      </w:r>
      <w:r>
        <w:t xml:space="preserve">partial merging of the C0/C4/C5 boundary while leaving C1 intact, and five seeds</w:t>
      </w:r>
      <w:r>
        <w:t xml:space="preserve"> </w:t>
      </w:r>
      <w:r>
        <w:t xml:space="preserve">over-resolved C1 into two or three subclusters. C1 was recovered as a coherent cluster in</w:t>
      </w:r>
      <w:r>
        <w:t xml:space="preserve"> </w:t>
      </w:r>
      <w:r>
        <w:t xml:space="preserve">15/20 seeds (purity = 1.00 in those seeds). Resolution 0.1 produced only two clusters</w:t>
      </w:r>
      <w:r>
        <w:t xml:space="preserve"> </w:t>
      </w:r>
      <w:r>
        <w:t xml:space="preserve">separating immune-hot from immune-cold TME, collapsing the functional diversity captured at</w:t>
      </w:r>
      <w:r>
        <w:t xml:space="preserve"> </w:t>
      </w:r>
      <w:r>
        <w:t xml:space="preserve">resolution 0.3; resolution 0.5 yielded 9 clusters in which C1 fragmented without</w:t>
      </w:r>
      <w:r>
        <w:t xml:space="preserve"> </w:t>
      </w:r>
      <w:r>
        <w:t xml:space="preserve">independent biological justification. The UMAP of the 670-instance canonical clustering is</w:t>
      </w:r>
      <w:r>
        <w:t xml:space="preserve"> </w:t>
      </w:r>
      <w:r>
        <w:t xml:space="preserve">shown in Figure</w:t>
      </w:r>
      <w:r>
        <w:t xml:space="preserve"> </w:t>
      </w:r>
      <w:r>
        <w:t xml:space="preserve">B.</w:t>
      </w:r>
    </w:p>
    <w:bookmarkEnd w:id="14"/>
    <w:bookmarkStart w:id="15" w:name="survival-analysis"/>
    <w:p>
      <w:pPr>
        <w:pStyle w:val="Heading2"/>
      </w:pPr>
      <w:r>
        <w:t xml:space="preserve">Survival Analysis</w:t>
      </w:r>
    </w:p>
    <w:p>
      <w:pPr>
        <w:pStyle w:val="FirstParagraph"/>
      </w:pPr>
      <w:r>
        <w:t xml:space="preserve">C1 and C4 gene module scores were computed in TCGA-BRCA and METABRIC as the mean</w:t>
      </w:r>
      <w:r>
        <w:t xml:space="preserve"> </w:t>
      </w:r>
      <w:r>
        <w:t xml:space="preserve">z-score across the respective gene sets:</w:t>
      </w:r>
    </w:p>
    <w:p>
      <w:pPr>
        <w:pStyle w:val="BodyText"/>
      </w:pPr>
      <w:r>
        <w:t xml:space="preserve">$C1 = $ mean z-score of</w:t>
      </w:r>
      <w:r>
        <w:t xml:space="preserve"> </w:t>
      </w:r>
      <w:r>
        <w:rPr>
          <w:i/>
          <w:iCs/>
        </w:rPr>
        <w:t xml:space="preserve">CXCL13</w:t>
      </w:r>
      <w:r>
        <w:t xml:space="preserve">,</w:t>
      </w:r>
      <w:r>
        <w:t xml:space="preserve"> </w:t>
      </w:r>
      <w:r>
        <w:rPr>
          <w:i/>
          <w:iCs/>
        </w:rPr>
        <w:t xml:space="preserve">CCL19</w:t>
      </w:r>
      <w:r>
        <w:t xml:space="preserve">,</w:t>
      </w:r>
      <w:r>
        <w:t xml:space="preserve"> </w:t>
      </w:r>
      <w:r>
        <w:rPr>
          <w:i/>
          <w:iCs/>
        </w:rPr>
        <w:t xml:space="preserve">CCL21</w:t>
      </w:r>
      <w:r>
        <w:t xml:space="preserve">,</w:t>
      </w:r>
      <w:r>
        <w:t xml:space="preserve"> </w:t>
      </w:r>
      <w:r>
        <w:rPr>
          <w:i/>
          <w:iCs/>
        </w:rPr>
        <w:t xml:space="preserve">LAMP3</w:t>
      </w:r>
      <w:r>
        <w:t xml:space="preserve">,</w:t>
      </w:r>
      <w:r>
        <w:t xml:space="preserve"> </w:t>
      </w:r>
      <w:r>
        <w:rPr>
          <w:i/>
          <w:iCs/>
        </w:rPr>
        <w:t xml:space="preserve">ACKR1</w:t>
      </w:r>
      <w:r>
        <w:t xml:space="preserve">,</w:t>
      </w:r>
      <w:r>
        <w:t xml:space="preserve"> </w:t>
      </w:r>
      <w:r>
        <w:rPr>
          <w:i/>
          <w:iCs/>
        </w:rPr>
        <w:t xml:space="preserve">MS4A1</w:t>
      </w:r>
      <w:r>
        <w:t xml:space="preserve">,</w:t>
      </w:r>
      <w:r>
        <w:t xml:space="preserve"> </w:t>
      </w:r>
      <w:r>
        <w:rPr>
          <w:i/>
          <w:iCs/>
        </w:rPr>
        <w:t xml:space="preserve">CXCR5</w:t>
      </w:r>
      <w:r>
        <w:t xml:space="preserve">,</w:t>
      </w:r>
      <w:r>
        <w:t xml:space="preserve"> </w:t>
      </w:r>
      <w:r>
        <w:rPr>
          <w:i/>
          <w:iCs/>
        </w:rPr>
        <w:t xml:space="preserve">BCL6</w:t>
      </w:r>
      <w:r>
        <w:t xml:space="preserve">,</w:t>
      </w:r>
      <w:r>
        <w:t xml:space="preserve"> </w:t>
      </w:r>
      <w:r>
        <w:rPr>
          <w:i/>
          <w:iCs/>
        </w:rPr>
        <w:t xml:space="preserve">IGHG1</w:t>
      </w:r>
      <w:r>
        <w:t xml:space="preserve">,</w:t>
      </w:r>
      <w:r>
        <w:t xml:space="preserve"> </w:t>
      </w:r>
      <w:r>
        <w:rPr>
          <w:i/>
          <w:iCs/>
        </w:rPr>
        <w:t xml:space="preserve">JCHAIN</w:t>
      </w:r>
      <w:r>
        <w:t xml:space="preserve">,</w:t>
      </w:r>
      <w:r>
        <w:t xml:space="preserve"> </w:t>
      </w:r>
      <w:r>
        <w:rPr>
          <w:i/>
          <w:iCs/>
        </w:rPr>
        <w:t xml:space="preserve">MZB1</w:t>
      </w:r>
      <w:r>
        <w:t xml:space="preserve">,</w:t>
      </w:r>
      <w:r>
        <w:t xml:space="preserve"> </w:t>
      </w:r>
      <w:r>
        <w:rPr>
          <w:i/>
          <w:iCs/>
        </w:rPr>
        <w:t xml:space="preserve">TNFSF13B</w:t>
      </w:r>
      <w:r>
        <w:t xml:space="preserve">,</w:t>
      </w:r>
      <w:r>
        <w:t xml:space="preserve"> </w:t>
      </w:r>
      <w:r>
        <w:rPr>
          <w:i/>
          <w:iCs/>
        </w:rPr>
        <w:t xml:space="preserve">AICDA</w:t>
      </w:r>
      <w:r>
        <w:t xml:space="preserve"> </w:t>
      </w:r>
      <w:r>
        <w:t xml:space="preserve">(13 genes)</w:t>
      </w:r>
    </w:p>
    <w:p>
      <w:pPr>
        <w:pStyle w:val="BodyText"/>
      </w:pPr>
      <w:r>
        <w:t xml:space="preserve">$C4 = $ mean z-score of</w:t>
      </w:r>
      <w:r>
        <w:t xml:space="preserve"> </w:t>
      </w:r>
      <w:r>
        <w:rPr>
          <w:i/>
          <w:iCs/>
        </w:rPr>
        <w:t xml:space="preserve">TGFB1</w:t>
      </w:r>
      <w:r>
        <w:t xml:space="preserve">,</w:t>
      </w:r>
      <w:r>
        <w:t xml:space="preserve"> </w:t>
      </w:r>
      <w:r>
        <w:rPr>
          <w:i/>
          <w:iCs/>
        </w:rPr>
        <w:t xml:space="preserve">IL10</w:t>
      </w:r>
      <w:r>
        <w:t xml:space="preserve">,</w:t>
      </w:r>
      <w:r>
        <w:t xml:space="preserve"> </w:t>
      </w:r>
      <w:r>
        <w:rPr>
          <w:i/>
          <w:iCs/>
        </w:rPr>
        <w:t xml:space="preserve">ARG1</w:t>
      </w:r>
      <w:r>
        <w:t xml:space="preserve">,</w:t>
      </w:r>
      <w:r>
        <w:t xml:space="preserve"> </w:t>
      </w:r>
      <w:r>
        <w:rPr>
          <w:i/>
          <w:iCs/>
        </w:rPr>
        <w:t xml:space="preserve">MRC1</w:t>
      </w:r>
      <w:r>
        <w:t xml:space="preserve">,</w:t>
      </w:r>
      <w:r>
        <w:t xml:space="preserve"> </w:t>
      </w:r>
      <w:r>
        <w:rPr>
          <w:i/>
          <w:iCs/>
        </w:rPr>
        <w:t xml:space="preserve">IDO1</w:t>
      </w:r>
      <w:r>
        <w:t xml:space="preserve">,</w:t>
      </w:r>
      <w:r>
        <w:t xml:space="preserve"> </w:t>
      </w:r>
      <w:r>
        <w:rPr>
          <w:i/>
          <w:iCs/>
        </w:rPr>
        <w:t xml:space="preserve">FOXP3</w:t>
      </w:r>
      <w:r>
        <w:t xml:space="preserve">,</w:t>
      </w:r>
      <w:r>
        <w:t xml:space="preserve"> </w:t>
      </w:r>
      <w:r>
        <w:rPr>
          <w:i/>
          <w:iCs/>
        </w:rPr>
        <w:t xml:space="preserve">IL2RA</w:t>
      </w:r>
      <w:r>
        <w:t xml:space="preserve">,</w:t>
      </w:r>
      <w:r>
        <w:t xml:space="preserve"> </w:t>
      </w:r>
      <w:r>
        <w:rPr>
          <w:i/>
          <w:iCs/>
        </w:rPr>
        <w:t xml:space="preserve">CTLA4</w:t>
      </w:r>
      <w:r>
        <w:t xml:space="preserve">,</w:t>
      </w:r>
      <w:r>
        <w:t xml:space="preserve"> </w:t>
      </w:r>
      <w:r>
        <w:rPr>
          <w:i/>
          <w:iCs/>
        </w:rPr>
        <w:t xml:space="preserve">CD274</w:t>
      </w:r>
      <w:r>
        <w:t xml:space="preserve"> </w:t>
      </w:r>
      <w:r>
        <w:t xml:space="preserve">(9 genes)</w:t>
      </w:r>
    </w:p>
    <w:p>
      <w:pPr>
        <w:pStyle w:val="BodyText"/>
      </w:pPr>
      <w:r>
        <w:t xml:space="preserve">Genes absent from a platform were excluded from the mean. Kaplan-Meier curves were</w:t>
      </w:r>
      <w:r>
        <w:t xml:space="preserve"> </w:t>
      </w:r>
      <w:r>
        <w:t xml:space="preserve">computed on top vs bottom quartile stratification. Multivariate Cox proportional hazards</w:t>
      </w:r>
      <w:r>
        <w:t xml:space="preserve"> </w:t>
      </w:r>
      <w:r>
        <w:t xml:space="preserve">regression included age (continuous), disease stage (categorical), and PAM50 subtype</w:t>
      </w:r>
      <w:r>
        <w:t xml:space="preserve"> </w:t>
      </w:r>
      <w:r>
        <w:t xml:space="preserve">(dummy-coded, LumA reference) in TCGA; age, NPI (continuous), and PAM50 in METABRIC.</w:t>
      </w:r>
      <w:r>
        <w:t xml:space="preserve"> </w:t>
      </w:r>
      <w:r>
        <w:t xml:space="preserve">TCGA endpoint: progression-free interval (PFI), selected over overall survival (OS) because</w:t>
      </w:r>
      <w:r>
        <w:t xml:space="preserve"> </w:t>
      </w:r>
      <w:r>
        <w:t xml:space="preserve">TCGA-BRCA OS has only ~16% event rate due to the good-prognosis demographic; PFI with 171</w:t>
      </w:r>
      <w:r>
        <w:t xml:space="preserve"> </w:t>
      </w:r>
      <w:r>
        <w:t xml:space="preserve">events captures immune-relevant recurrence. Hazard ratios and 95% confidence intervals are</w:t>
      </w:r>
      <w:r>
        <w:t xml:space="preserve"> </w:t>
      </w:r>
      <w:r>
        <w:t xml:space="preserve">reported per unit standard deviation of the module score.</w:t>
      </w:r>
    </w:p>
    <w:bookmarkEnd w:id="15"/>
    <w:bookmarkStart w:id="16" w:name="X388e6136c5afda4e1d1ac2152030b34cfe79b65"/>
    <w:p>
      <w:pPr>
        <w:pStyle w:val="Heading2"/>
      </w:pPr>
      <w:r>
        <w:t xml:space="preserve">Immunotherapy Response Validation (Shiao et al.)</w:t>
      </w:r>
    </w:p>
    <w:p>
      <w:pPr>
        <w:pStyle w:val="FirstParagraph"/>
      </w:pPr>
      <w:r>
        <w:t xml:space="preserve">Counts were normalised to</w:t>
      </w:r>
      <w:r>
        <w:t xml:space="preserve"> </w:t>
      </w:r>
      <m:oMath>
        <m:r>
          <m:rPr>
            <m:sty m:val="p"/>
          </m:rPr>
          <m:t>log</m:t>
        </m:r>
        <m:r>
          <m:rPr>
            <m:sty m:val="p"/>
          </m:rPr>
          <m:t>(</m:t>
        </m:r>
        <m:r>
          <m:t>1</m:t>
        </m:r>
        <m:r>
          <m:rPr>
            <m:sty m:val="p"/>
          </m:rPr>
          <m:t>+</m:t>
        </m:r>
        <m:r>
          <m:rPr>
            <m:nor/>
            <m:sty m:val="p"/>
          </m:rPr>
          <m:t>CPM</m:t>
        </m:r>
        <m:r>
          <m:rPr>
            <m:sty m:val="p"/>
          </m:rPr>
          <m:t>)</m:t>
        </m:r>
      </m:oMath>
      <w:r>
        <w:t xml:space="preserve"> </w:t>
      </w:r>
      <w:r>
        <w:t xml:space="preserve">per cell. C1 and C4 scores were computed</w:t>
      </w:r>
      <w:r>
        <w:t xml:space="preserve"> </w:t>
      </w:r>
      <w:r>
        <w:t xml:space="preserve">per cell using</w:t>
      </w:r>
      <w:r>
        <w:t xml:space="preserve"> </w:t>
      </w:r>
      <w:r>
        <w:rPr>
          <w:rStyle w:val="VerbatimChar"/>
        </w:rPr>
        <w:t xml:space="preserve">sc.tl.score_genes</w:t>
      </w:r>
      <w:r>
        <w:t xml:space="preserve"> </w:t>
      </w:r>
      <w:r>
        <w:t xml:space="preserve">(Wolf et al. 2018)</w:t>
      </w:r>
      <w:r>
        <w:t xml:space="preserve">, which scores each cell as the mean</w:t>
      </w:r>
      <w:r>
        <w:t xml:space="preserve"> </w:t>
      </w:r>
      <w:r>
        <w:t xml:space="preserve">expression of the target gene set minus the mean of an expression-level-matched control</w:t>
      </w:r>
      <w:r>
        <w:t xml:space="preserve"> </w:t>
      </w:r>
      <w:r>
        <w:t xml:space="preserve">gene set sampled internally by scanpy. Per-patient</w:t>
      </w:r>
      <w:r>
        <w:t xml:space="preserve"> </w:t>
      </w:r>
      <w:r>
        <w:t xml:space="preserve">pseudobulk scores were computed as the mean across cells at the baseline timepoint</w:t>
      </w:r>
      <w:r>
        <w:t xml:space="preserve"> </w:t>
      </w:r>
      <w:r>
        <w:t xml:space="preserve">(pre-treatment). Mann-Whitney U test compared C1/C4 scores between pathological</w:t>
      </w:r>
      <w:r>
        <w:t xml:space="preserve"> </w:t>
      </w:r>
      <w:r>
        <w:t xml:space="preserve">responders (pCR = R) and non-responders (pCR = NR). Spearman rank correlation between</w:t>
      </w:r>
      <w:r>
        <w:t xml:space="preserve"> </w:t>
      </w:r>
      <w:r>
        <w:t xml:space="preserve">pseudobulk scores and RCB (0–3, continuous) tested the dose-response relationship.</w:t>
      </w:r>
    </w:p>
    <w:bookmarkEnd w:id="16"/>
    <w:bookmarkStart w:id="17" w:name="X99ed2c98d0a35edc15489d45a66faf47aa2b472"/>
    <w:p>
      <w:pPr>
        <w:pStyle w:val="Heading2"/>
      </w:pPr>
      <w:r>
        <w:t xml:space="preserve">Morphological Feature Extraction and Classification</w:t>
      </w:r>
    </w:p>
    <w:p>
      <w:pPr>
        <w:pStyle w:val="FirstParagraph"/>
      </w:pPr>
      <w:r>
        <w:t xml:space="preserve">Nine morphological features were extracted from two sources provided by the HEST-1k</w:t>
      </w:r>
      <w:r>
        <w:t xml:space="preserve"> </w:t>
      </w:r>
      <w:r>
        <w:t xml:space="preserve">dataset, without accessing whole-slide images: (i) TLS polygon coordinates from the</w:t>
      </w:r>
      <w:r>
        <w:t xml:space="preserve"> </w:t>
      </w:r>
      <w:r>
        <w:t xml:space="preserve">stage 1 HookNet output, and (ii) HEST pre-extracted 224×224 px H&amp;E spot patches</w:t>
      </w:r>
      <w:r>
        <w:t xml:space="preserve"> </w:t>
      </w:r>
      <w:r>
        <w:t xml:space="preserve">co-registered with ST barcodes. Shape features (log area, circularity, convexity,</w:t>
      </w:r>
      <w:r>
        <w:t xml:space="preserve"> </w:t>
      </w:r>
      <w:r>
        <w:t xml:space="preserve">elongation) were derived from polygon geometry; elongation is the major/minor axis</w:t>
      </w:r>
      <w:r>
        <w:t xml:space="preserve"> </w:t>
      </w:r>
      <w:r>
        <w:t xml:space="preserve">ratio of the minimum bounding rectangle. Haematoxylin intensity features were computed</w:t>
      </w:r>
      <w:r>
        <w:t xml:space="preserve"> </w:t>
      </w:r>
      <w:r>
        <w:t xml:space="preserve">from the spot patches using Ruifrok–Johnston stain deconvolution</w:t>
      </w:r>
      <w:r>
        <w:t xml:space="preserve"> </w:t>
      </w:r>
      <w:r>
        <w:t xml:space="preserve">(</w:t>
      </w:r>
      <w:r>
        <w:rPr>
          <w:rStyle w:val="VerbatimChar"/>
        </w:rPr>
        <w:t xml:space="preserve">skimage.color.rgb2hed</w:t>
      </w:r>
      <w:r>
        <w:t xml:space="preserve">, channel 0) in two</w:t>
      </w:r>
      <w:r>
        <w:t xml:space="preserve"> </w:t>
      </w:r>
      <w:r>
        <w:t xml:space="preserve">spatial regions: Region A (in-TLS spots: he_mean_A, he_var_A) and Region B (300 µm</w:t>
      </w:r>
      <w:r>
        <w:t xml:space="preserve"> </w:t>
      </w:r>
      <w:r>
        <w:t xml:space="preserve">ring spots: he_mean_B, he_var_B, he_ratio_BA = B/A ratio). Patch-to-spot assignment</w:t>
      </w:r>
      <w:r>
        <w:t xml:space="preserve"> </w:t>
      </w:r>
      <w:r>
        <w:t xml:space="preserve">used KD-tree nearest-neighbour matching through the original ST h5ad barcodes</w:t>
      </w:r>
      <w:r>
        <w:t xml:space="preserve"> </w:t>
      </w:r>
      <w:r>
        <w:t xml:space="preserve">(tolerance 2 µm). Circularity and convexity are undefined for watershed-split</w:t>
      </w:r>
      <w:r>
        <w:t xml:space="preserve"> </w:t>
      </w:r>
      <w:r>
        <w:t xml:space="preserve">instances (</w:t>
      </w:r>
      <m:oMath>
        <m:r>
          <m:t>n</m:t>
        </m:r>
      </m:oMath>
      <w:r>
        <w:t xml:space="preserve"> </w:t>
      </w:r>
      <w:r>
        <w:t xml:space="preserve">= 241) and were median-imputed within each training fold.</w:t>
      </w:r>
    </w:p>
    <w:p>
      <w:pPr>
        <w:pStyle w:val="BodyText"/>
      </w:pPr>
      <w:r>
        <w:t xml:space="preserve">A Random Forest (500 trees, balanced class weights, scikit-learn) was evaluated under</w:t>
      </w:r>
      <w:r>
        <w:t xml:space="preserve"> </w:t>
      </w:r>
      <w:r>
        <w:t xml:space="preserve">five pre-specified metrics with patient-level cross-validation. The primary metric,</w:t>
      </w:r>
      <w:r>
        <w:t xml:space="preserve"> </w:t>
      </w:r>
      <w:r>
        <w:t xml:space="preserve">C1-SPA vs C4 AUROC, used leave-one-C4-patient-out CV (9 folds over 9 C4 patients),</w:t>
      </w:r>
      <w:r>
        <w:t xml:space="preserve"> </w:t>
      </w:r>
      <w:r>
        <w:t xml:space="preserve">with a round-robin subset of C1-SPA patients held out simultaneously to ensure both</w:t>
      </w:r>
      <w:r>
        <w:t xml:space="preserve"> </w:t>
      </w:r>
      <w:r>
        <w:t xml:space="preserve">classes appeared in each test fold. The secondary metric (full C1 vs C4) used the</w:t>
      </w:r>
      <w:r>
        <w:t xml:space="preserve"> </w:t>
      </w:r>
      <w:r>
        <w:t xml:space="preserve">same scheme including C1-Visium instances. Platform confound was quantified by</w:t>
      </w:r>
      <w:r>
        <w:t xml:space="preserve"> </w:t>
      </w:r>
      <w:r>
        <w:t xml:space="preserve">distinguishing C1-Visium from C1-SPA (5-fold patient CV, label = platform). C1 vs C0</w:t>
      </w:r>
      <w:r>
        <w:t xml:space="preserve"> </w:t>
      </w:r>
      <w:r>
        <w:t xml:space="preserve">AUROC and 6-class macro F1 used 3-fold patient CV.</w:t>
      </w:r>
    </w:p>
    <w:bookmarkEnd w:id="17"/>
    <w:bookmarkStart w:id="18" w:name="spatial-graph-neural-network"/>
    <w:p>
      <w:pPr>
        <w:pStyle w:val="Heading2"/>
      </w:pPr>
      <w:r>
        <w:t xml:space="preserve">Spatial Graph Neural Network</w:t>
      </w:r>
    </w:p>
    <w:p>
      <w:pPr>
        <w:pStyle w:val="FirstParagraph"/>
      </w:pPr>
      <w:r>
        <w:t xml:space="preserve">Each TLS instance was represented as a two-region spatial graph over its HEST spot</w:t>
      </w:r>
      <w:r>
        <w:t xml:space="preserve"> </w:t>
      </w:r>
      <w:r>
        <w:t xml:space="preserve">patches. Node features were computed by passing each 224×224 px RGB patch through a</w:t>
      </w:r>
      <w:r>
        <w:t xml:space="preserve"> </w:t>
      </w:r>
      <w:r>
        <w:t xml:space="preserve">ResNet-50 encoder (ImageNet1K-V2 weights, torchvision; avgpool output, 2048-dim),</w:t>
      </w:r>
      <w:r>
        <w:t xml:space="preserve"> </w:t>
      </w:r>
      <w:r>
        <w:t xml:space="preserve">then reducing to 64-dim by PCA fitted on training instances only per fold. Two</w:t>
      </w:r>
      <w:r>
        <w:t xml:space="preserve"> </w:t>
      </w:r>
      <w:r>
        <w:t xml:space="preserve">supplementary features were appended per node: a binary region indicator</w:t>
      </w:r>
      <w:r>
        <w:t xml:space="preserve"> </w:t>
      </w:r>
      <w:r>
        <w:t xml:space="preserve">(0 = TLS interior, 1 = 300 µm ring) and a binary platform indicator (0 = Visium,</w:t>
      </w:r>
      <w:r>
        <w:t xml:space="preserve"> </w:t>
      </w:r>
      <w:r>
        <w:t xml:space="preserve">1 = SPA), giving 66-dim node features. Edges were constructed as:</w:t>
      </w:r>
      <w:r>
        <w:t xml:space="preserve"> </w:t>
      </w:r>
      <m:oMath>
        <m:r>
          <m:t>k</m:t>
        </m:r>
      </m:oMath>
      <w:r>
        <w:t xml:space="preserve"> </w:t>
      </w:r>
      <w:r>
        <w:t xml:space="preserve">= 6 spatial</w:t>
      </w:r>
      <w:r>
        <w:t xml:space="preserve"> </w:t>
      </w:r>
      <m:oMath>
        <m:r>
          <m:t>k</m:t>
        </m:r>
      </m:oMath>
      <w:r>
        <w:t xml:space="preserve">-nearest-neighbour edges within interior nodes,</w:t>
      </w:r>
      <w:r>
        <w:t xml:space="preserve"> </w:t>
      </w:r>
      <m:oMath>
        <m:r>
          <m:t>k</m:t>
        </m:r>
      </m:oMath>
      <w:r>
        <w:t xml:space="preserve"> </w:t>
      </w:r>
      <w:r>
        <w:t xml:space="preserve">= 6 within ring nodes, and</w:t>
      </w:r>
      <w:r>
        <w:t xml:space="preserve"> </w:t>
      </w:r>
      <m:oMath>
        <m:r>
          <m:t>k</m:t>
        </m:r>
      </m:oMath>
      <w:r>
        <w:t xml:space="preserve"> </w:t>
      </w:r>
      <w:r>
        <w:t xml:space="preserve">= 3 cross-boundary edges from each interior node to its nearest ring nodes</w:t>
      </w:r>
      <w:r>
        <w:t xml:space="preserve"> </w:t>
      </w:r>
      <w:r>
        <w:t xml:space="preserve">(undirected; all directed pairs included).</w:t>
      </w:r>
    </w:p>
    <w:p>
      <w:pPr>
        <w:pStyle w:val="BodyText"/>
      </w:pPr>
      <w:r>
        <w:t xml:space="preserve">The graph attention network (GAT; PyTorch Geometric) comprised two message-passing</w:t>
      </w:r>
      <w:r>
        <w:t xml:space="preserve"> </w:t>
      </w:r>
      <w:r>
        <w:t xml:space="preserve">layers: layer 1 uses 8 attention heads with hidden dimension 64 (concatenated,</w:t>
      </w:r>
      <w:r>
        <w:t xml:space="preserve"> </w:t>
      </w:r>
      <w:r>
        <w:t xml:space="preserve">512-dim output); layer 2 uses 1 head (mean, 64-dim output). Dropout of 0.3 was applied</w:t>
      </w:r>
      <w:r>
        <w:t xml:space="preserve"> </w:t>
      </w:r>
      <w:r>
        <w:t xml:space="preserve">to attention weights and between layers. Graph-level representations were formed by</w:t>
      </w:r>
      <w:r>
        <w:t xml:space="preserve"> </w:t>
      </w:r>
      <w:r>
        <w:t xml:space="preserve">separate mean-pooling over interior nodes and ring nodes, concatenated (128-dim) before</w:t>
      </w:r>
      <w:r>
        <w:t xml:space="preserve"> </w:t>
      </w:r>
      <w:r>
        <w:t xml:space="preserve">a two-layer MLP head (128→64→1). The model was trained with binary cross-entropy loss,</w:t>
      </w:r>
      <w:r>
        <w:t xml:space="preserve"> </w:t>
      </w:r>
      <w:r>
        <w:t xml:space="preserve">Adam optimiser (lr = 1×10⁻³, L2 weight decay = 1×10⁻⁴) for 80 epochs per fold.</w:t>
      </w:r>
      <w:r>
        <w:t xml:space="preserve"> </w:t>
      </w:r>
      <w:r>
        <w:t xml:space="preserve">Training graphs received random rotation and coordinate jitter augmentation (±5% of</w:t>
      </w:r>
      <w:r>
        <w:t xml:space="preserve"> </w:t>
      </w:r>
      <w:r>
        <w:t xml:space="preserve">coordinate standard deviation) to account for the arbitrary orientation of TLS.</w:t>
      </w:r>
      <w:r>
        <w:t xml:space="preserve"> </w:t>
      </w:r>
      <w:r>
        <w:t xml:space="preserve">Evaluation used the same LOPO-CV scheme as the Random Forest analysis.</w:t>
      </w:r>
    </w:p>
    <w:bookmarkEnd w:id="18"/>
    <w:bookmarkEnd w:id="19"/>
    <w:bookmarkStart w:id="43" w:name="results"/>
    <w:p>
      <w:pPr>
        <w:pStyle w:val="Heading1"/>
      </w:pPr>
      <w:r>
        <w:t xml:space="preserve">Results</w:t>
      </w:r>
    </w:p>
    <w:bookmarkStart w:id="23" w:name="X41f71ac6b247bdc14c5e31c7f0d2e5ef1e14ebe"/>
    <w:p>
      <w:pPr>
        <w:pStyle w:val="Heading2"/>
      </w:pPr>
      <w:r>
        <w:t xml:space="preserve">Pan-cancer TLS detection yields 670 instances across 12 cancer types</w:t>
      </w:r>
    </w:p>
    <w:p>
      <w:pPr>
        <w:pStyle w:val="FirstParagraph"/>
      </w:pPr>
      <w:r>
        <w:drawing>
          <wp:inline>
            <wp:extent cx="5334000" cy="1871158"/>
            <wp:effectExtent b="0" l="0" r="0" t="0"/>
            <wp:docPr descr="" title="" id="21" name="Picture"/>
            <a:graphic>
              <a:graphicData uri="http://schemas.openxmlformats.org/drawingml/2006/picture">
                <pic:pic>
                  <pic:nvPicPr>
                    <pic:cNvPr descr="figures/fig1_overview.png" id="22" name="Picture"/>
                    <pic:cNvPicPr>
                      <a:picLocks noChangeArrowheads="1" noChangeAspect="1"/>
                    </pic:cNvPicPr>
                  </pic:nvPicPr>
                  <pic:blipFill>
                    <a:blip r:embed="rId20"/>
                    <a:stretch>
                      <a:fillRect/>
                    </a:stretch>
                  </pic:blipFill>
                  <pic:spPr bwMode="auto">
                    <a:xfrm>
                      <a:off x="0" y="0"/>
                      <a:ext cx="5334000" cy="1871158"/>
                    </a:xfrm>
                    <a:prstGeom prst="rect">
                      <a:avLst/>
                    </a:prstGeom>
                    <a:noFill/>
                    <a:ln w="9525">
                      <a:noFill/>
                      <a:headEnd/>
                      <a:tailEnd/>
                    </a:ln>
                  </pic:spPr>
                </pic:pic>
              </a:graphicData>
            </a:graphic>
          </wp:inline>
        </w:drawing>
      </w:r>
    </w:p>
    <w:p>
      <w:pPr>
        <w:pStyle w:val="BodyText"/>
      </w:pPr>
      <w:r>
        <w:t xml:space="preserve">HookNet-TLS was applied to all 372 cancer samples in HEST-1k on Visium and Spatial</w:t>
      </w:r>
      <w:r>
        <w:t xml:space="preserve"> </w:t>
      </w:r>
      <w:r>
        <w:t xml:space="preserve">Transcriptomics platforms (healthy tissue, non-cancer organs, and low-quality samples</w:t>
      </w:r>
      <w:r>
        <w:t xml:space="preserve"> </w:t>
      </w:r>
      <w:r>
        <w:t xml:space="preserve">were excluded at the outset; Xenium and Visium HD were excluded owing to incompatible</w:t>
      </w:r>
      <w:r>
        <w:t xml:space="preserve"> </w:t>
      </w:r>
      <w:r>
        <w:t xml:space="preserve">coordinate systems; see Methods). At the cc = 354 confidence threshold,</w:t>
      </w:r>
      <w:r>
        <w:t xml:space="preserve"> </w:t>
      </w:r>
      <w:r>
        <w:t xml:space="preserve">TLS were detected in 237 samples (64%); after further excluding duplicate slides,</w:t>
      </w:r>
      <w:r>
        <w:t xml:space="preserve"> </w:t>
      </w:r>
      <w:r>
        <w:t xml:space="preserve">samples with no co-registered ST spots, and samples failing metadata quality checks</w:t>
      </w:r>
      <w:r>
        <w:t xml:space="preserve"> </w:t>
      </w:r>
      <w:r>
        <w:t xml:space="preserve">(non-human tissue, lymph nodes, and non-cancer annotations), 747 instances across 119</w:t>
      </w:r>
      <w:r>
        <w:t xml:space="preserve"> </w:t>
      </w:r>
      <w:r>
        <w:t xml:space="preserve">samples remained. After excluding six serial sections from patients BC23803 (SPA51/52/53;</w:t>
      </w:r>
      <w:r>
        <w:t xml:space="preserve"> </w:t>
      </w:r>
      <w:r>
        <w:t xml:space="preserve">22 instances) and BC23377 (SPA54/55/56; 55 instances) due to single-patient</w:t>
      </w:r>
      <w:r>
        <w:t xml:space="preserve"> </w:t>
      </w:r>
      <w:r>
        <w:t xml:space="preserve">overrepresentation (see Supplementary Note), 670 instances from 113 samples entered the</w:t>
      </w:r>
      <w:r>
        <w:t xml:space="preserve"> </w:t>
      </w:r>
      <w:r>
        <w:t xml:space="preserve">functional state analysis. Cancer types represented include IDC (breast invasive ductal</w:t>
      </w:r>
      <w:r>
        <w:t xml:space="preserve"> </w:t>
      </w:r>
      <w:r>
        <w:t xml:space="preserve">carcinoma; the largest cohort,</w:t>
      </w:r>
      <w:r>
        <w:t xml:space="preserve"> </w:t>
      </w:r>
      <m:oMath>
        <m:r>
          <m:t>n</m:t>
        </m:r>
      </m:oMath>
      <w:r>
        <w:t xml:space="preserve"> </w:t>
      </w:r>
      <w:r>
        <w:t xml:space="preserve">= 503 instances), PRAD, CESC, COAD, EPM, PAAD,</w:t>
      </w:r>
      <w:r>
        <w:t xml:space="preserve"> </w:t>
      </w:r>
      <w:r>
        <w:t xml:space="preserve">LUSC, READ, BLCA, SKCM, GBM, and LUAD (Figure</w:t>
      </w:r>
      <w:r>
        <w:t xml:space="preserve"> </w:t>
      </w:r>
      <w:r>
        <w:t xml:space="preserve">).</w:t>
      </w:r>
    </w:p>
    <w:bookmarkEnd w:id="23"/>
    <w:bookmarkStart w:id="27" w:name="X1d2a45b9d1495582e3767e02b4aa4252321547d"/>
    <w:p>
      <w:pPr>
        <w:pStyle w:val="Heading2"/>
      </w:pPr>
      <w:r>
        <w:t xml:space="preserve">Leiden clustering resolves six TLS functional states</w:t>
      </w:r>
    </w:p>
    <w:p>
      <w:pPr>
        <w:pStyle w:val="FirstParagraph"/>
      </w:pPr>
      <w:r>
        <w:drawing>
          <wp:inline>
            <wp:extent cx="5334000" cy="1766124"/>
            <wp:effectExtent b="0" l="0" r="0" t="0"/>
            <wp:docPr descr="" title="" id="25" name="Picture"/>
            <a:graphic>
              <a:graphicData uri="http://schemas.openxmlformats.org/drawingml/2006/picture">
                <pic:pic>
                  <pic:nvPicPr>
                    <pic:cNvPr descr="figures/fig2_clustering.png" id="26" name="Picture"/>
                    <pic:cNvPicPr>
                      <a:picLocks noChangeArrowheads="1" noChangeAspect="1"/>
                    </pic:cNvPicPr>
                  </pic:nvPicPr>
                  <pic:blipFill>
                    <a:blip r:embed="rId24"/>
                    <a:stretch>
                      <a:fillRect/>
                    </a:stretch>
                  </pic:blipFill>
                  <pic:spPr bwMode="auto">
                    <a:xfrm>
                      <a:off x="0" y="0"/>
                      <a:ext cx="5334000" cy="1766124"/>
                    </a:xfrm>
                    <a:prstGeom prst="rect">
                      <a:avLst/>
                    </a:prstGeom>
                    <a:noFill/>
                    <a:ln w="9525">
                      <a:noFill/>
                      <a:headEnd/>
                      <a:tailEnd/>
                    </a:ln>
                  </pic:spPr>
                </pic:pic>
              </a:graphicData>
            </a:graphic>
          </wp:inline>
        </w:drawing>
      </w:r>
    </w:p>
    <w:p>
      <w:pPr>
        <w:pStyle w:val="BodyText"/>
      </w:pPr>
      <w:r>
        <w:t xml:space="preserve">Leiden clustering of the 12-feature z-scored matrix at resolution 0.3 produced six clusters</w:t>
      </w:r>
      <w:r>
        <w:t xml:space="preserve"> </w:t>
      </w:r>
      <w:r>
        <w:t xml:space="preserve">with moderate stability (ARI = 0.83 ± 0.14 across 20 seeds; Figure</w:t>
      </w:r>
      <w:r>
        <w:t xml:space="preserve"> </w:t>
      </w:r>
      <w:r>
        <w:t xml:space="preserve">).</w:t>
      </w:r>
      <w:r>
        <w:t xml:space="preserve"> </w:t>
      </w:r>
      <w:r>
        <w:t xml:space="preserve">Table</w:t>
      </w:r>
      <w:r>
        <w:t xml:space="preserve"> </w:t>
      </w:r>
      <w:r>
        <w:t xml:space="preserve"> </w:t>
      </w:r>
      <w:r>
        <w:t xml:space="preserve">summarises the functional interpretation of each cluster based on</w:t>
      </w:r>
      <w:r>
        <w:t xml:space="preserve"> </w:t>
      </w:r>
      <w:r>
        <w:t xml:space="preserve">its feature profile. Feature selection was based on established TLS biology prior to any</w:t>
      </w:r>
      <w:r>
        <w:t xml:space="preserve"> </w:t>
      </w:r>
      <w:r>
        <w:t xml:space="preserve">data analysis; biological validation of cluster assignments relied exclusively on genes</w:t>
      </w:r>
      <w:r>
        <w:t xml:space="preserve"> </w:t>
      </w:r>
      <w:r>
        <w:t xml:space="preserve">absent from the feature set and on independent clinical cohorts, ensuring that functional</w:t>
      </w:r>
      <w:r>
        <w:t xml:space="preserve"> </w:t>
      </w:r>
      <w:r>
        <w:t xml:space="preserve">interpretation was not circular with feature construction.</w:t>
      </w:r>
    </w:p>
    <w:p>
      <w:pPr>
        <w:pStyle w:val="BodyText"/>
      </w:pPr>
      <w:r>
        <w:rPr>
          <w:b/>
          <w:bCs/>
        </w:rPr>
        <w:t xml:space="preserve">C0: Low-activity IDC TLS</w:t>
      </w:r>
      <w:r>
        <w:t xml:space="preserve"> </w:t>
      </w:r>
      <w:r>
        <w:t xml:space="preserve">(</w:t>
      </w:r>
      <m:oMath>
        <m:r>
          <m:t>n</m:t>
        </m:r>
      </m:oMath>
      <w:r>
        <w:t xml:space="preserve"> </w:t>
      </w:r>
      <w:r>
        <w:t xml:space="preserve">= 191): near-zero on all features; dominated by IDC</w:t>
      </w:r>
      <w:r>
        <w:t xml:space="preserve"> </w:t>
      </w:r>
      <w:r>
        <w:t xml:space="preserve">SPA instances (190/191). Neighbourhood tumour fraction is modestly elevated (mean z = 0.24),</w:t>
      </w:r>
      <w:r>
        <w:t xml:space="preserve"> </w:t>
      </w:r>
      <w:r>
        <w:t xml:space="preserve">suggesting proximity to tumour epithelium. This cluster may represent TLS at a</w:t>
      </w:r>
      <w:r>
        <w:t xml:space="preserve"> </w:t>
      </w:r>
      <w:r>
        <w:t xml:space="preserve">pre-immunogenic stage or under suppressive tumour proximity constraints.</w:t>
      </w:r>
    </w:p>
    <w:p>
      <w:pPr>
        <w:pStyle w:val="BodyText"/>
      </w:pPr>
      <w:r>
        <w:rPr>
          <w:b/>
          <w:bCs/>
        </w:rPr>
        <w:t xml:space="preserve">C1: Immunogenic TLS</w:t>
      </w:r>
      <w:r>
        <w:t xml:space="preserve"> </w:t>
      </w:r>
      <w:r>
        <w:t xml:space="preserve">(</w:t>
      </w:r>
      <m:oMath>
        <m:r>
          <m:t>n</m:t>
        </m:r>
      </m:oMath>
      <w:r>
        <w:t xml:space="preserve"> </w:t>
      </w:r>
      <w:r>
        <w:t xml:space="preserve">= 168): highest Plasma score (+1.45), GC score (+0.47), Tfh</w:t>
      </w:r>
      <w:r>
        <w:t xml:space="preserve"> </w:t>
      </w:r>
      <w:r>
        <w:t xml:space="preserve">score (+0.69), and HEV score; elevated cytotoxic and myeloid-suppressive scores; CD8A</w:t>
      </w:r>
      <w:r>
        <w:t xml:space="preserve"> </w:t>
      </w:r>
      <w:r>
        <w:t xml:space="preserve">neighbourhood enrichment (+0.74). Cancer-type composition is broadly multi-cancer (IDC 126,</w:t>
      </w:r>
      <w:r>
        <w:t xml:space="preserve"> </w:t>
      </w:r>
      <w:r>
        <w:t xml:space="preserve">COAD 13, CESC 12, PAAD 7, READ 4, BLCA 3) with genuine platform mixing (112 SPA + 56</w:t>
      </w:r>
      <w:r>
        <w:t xml:space="preserve"> </w:t>
      </w:r>
      <w:r>
        <w:t xml:space="preserve">Visium). This is the highest-confidence functional class.</w:t>
      </w:r>
    </w:p>
    <w:p>
      <w:pPr>
        <w:pStyle w:val="BodyText"/>
      </w:pPr>
      <w:r>
        <w:rPr>
          <w:b/>
          <w:bCs/>
        </w:rPr>
        <w:t xml:space="preserve">C2: Excluded/peripheral TLS</w:t>
      </w:r>
      <w:r>
        <w:t xml:space="preserve"> </w:t>
      </w:r>
      <w:r>
        <w:t xml:space="preserve">(</w:t>
      </w:r>
      <m:oMath>
        <m:r>
          <m:t>n</m:t>
        </m:r>
      </m:oMath>
      <w:r>
        <w:t xml:space="preserve"> </w:t>
      </w:r>
      <w:r>
        <w:t xml:space="preserve">= 101): negative on all features; dominated by PRAD</w:t>
      </w:r>
      <w:r>
        <w:t xml:space="preserve"> </w:t>
      </w:r>
      <w:r>
        <w:t xml:space="preserve">(48/101) and EPM (32/101), cancer types where TLS appear at tumour margins but lack</w:t>
      </w:r>
      <w:r>
        <w:t xml:space="preserve"> </w:t>
      </w:r>
      <w:r>
        <w:t xml:space="preserve">tertiary lymphoid organiser cells</w:t>
      </w:r>
      <w:r>
        <w:t xml:space="preserve"> </w:t>
      </w:r>
      <w:r>
        <w:t xml:space="preserve">(Sautes-Fridman et al. 2019)</w:t>
      </w:r>
      <w:r>
        <w:t xml:space="preserve">. Predominantly Visium</w:t>
      </w:r>
      <w:r>
        <w:t xml:space="preserve"> </w:t>
      </w:r>
      <w:r>
        <w:t xml:space="preserve">platform (93/101).</w:t>
      </w:r>
    </w:p>
    <w:p>
      <w:pPr>
        <w:pStyle w:val="BodyText"/>
      </w:pPr>
      <w:r>
        <w:rPr>
          <w:b/>
          <w:bCs/>
        </w:rPr>
        <w:t xml:space="preserve">C3: VEGFA-angiogenic TLS</w:t>
      </w:r>
      <w:r>
        <w:t xml:space="preserve"> </w:t>
      </w:r>
      <w:r>
        <w:t xml:space="preserve">(</w:t>
      </w:r>
      <m:oMath>
        <m:r>
          <m:t>n</m:t>
        </m:r>
      </m:oMath>
      <w:r>
        <w:t xml:space="preserve"> </w:t>
      </w:r>
      <w:r>
        <w:t xml:space="preserve">= 76): high neighbourhood VEGFA (+1.59) and tumour</w:t>
      </w:r>
      <w:r>
        <w:t xml:space="preserve"> </w:t>
      </w:r>
      <w:r>
        <w:t xml:space="preserve">fraction (+0.31); mixed IDC and PRAD. Consistent with pre-TLS or regressing structures</w:t>
      </w:r>
      <w:r>
        <w:t xml:space="preserve"> </w:t>
      </w:r>
      <w:r>
        <w:t xml:space="preserve">in VEGFA-high microenvironments where HEV differentiation is suppressed</w:t>
      </w:r>
      <w:r>
        <w:t xml:space="preserve"> </w:t>
      </w:r>
      <w:r>
        <w:t xml:space="preserve">(Motz and Coukos 2013)</w:t>
      </w:r>
      <w:r>
        <w:t xml:space="preserve">.</w:t>
      </w:r>
    </w:p>
    <w:p>
      <w:pPr>
        <w:pStyle w:val="BodyText"/>
      </w:pPr>
      <w:r>
        <w:rPr>
          <w:b/>
          <w:bCs/>
        </w:rPr>
        <w:t xml:space="preserve">C4: Myeloid-suppressive TLS</w:t>
      </w:r>
      <w:r>
        <w:t xml:space="preserve"> </w:t>
      </w:r>
      <w:r>
        <w:t xml:space="preserve">(</w:t>
      </w:r>
      <m:oMath>
        <m:r>
          <m:t>n</m:t>
        </m:r>
      </m:oMath>
      <w:r>
        <w:t xml:space="preserve"> </w:t>
      </w:r>
      <w:r>
        <w:t xml:space="preserve">= 70): high neighbourhood myeloid fraction (+1.62)</w:t>
      </w:r>
      <w:r>
        <w:t xml:space="preserve"> </w:t>
      </w:r>
      <w:r>
        <w:t xml:space="preserve">and TGFB1 (+0.91); elevated in-TLS suppressive score (+0.66). All 70 instances are IDC</w:t>
      </w:r>
      <w:r>
        <w:t xml:space="preserve"> </w:t>
      </w:r>
      <w:r>
        <w:t xml:space="preserve">SPA, raising the question of platform confound. However, all 14 IDC Visium instances</w:t>
      </w:r>
      <w:r>
        <w:t xml:space="preserve"> </w:t>
      </w:r>
      <w:r>
        <w:t xml:space="preserve">assign to C1 (not C4), indicating that the C4 feature profile is not a platform artefact:</w:t>
      </w:r>
      <w:r>
        <w:t xml:space="preserve"> </w:t>
      </w:r>
      <w:r>
        <w:t xml:space="preserve">a platform effect would pull IDC Visium toward C4, not away from it (</w:t>
      </w:r>
      <w:r>
        <w:t xml:space="preserve">).</w:t>
      </w:r>
    </w:p>
    <w:p>
      <w:pPr>
        <w:pStyle w:val="BodyText"/>
      </w:pPr>
      <w:r>
        <w:rPr>
          <w:b/>
          <w:bCs/>
        </w:rPr>
        <w:t xml:space="preserve">C5: Tumour-proximal TLS</w:t>
      </w:r>
      <w:r>
        <w:t xml:space="preserve"> </w:t>
      </w:r>
      <w:r>
        <w:t xml:space="preserve">(</w:t>
      </w:r>
      <m:oMath>
        <m:r>
          <m:t>n</m:t>
        </m:r>
      </m:oMath>
      <w:r>
        <w:t xml:space="preserve"> </w:t>
      </w:r>
      <w:r>
        <w:t xml:space="preserve">= 64): high neighbourhood tumour fraction (+0.90) and</w:t>
      </w:r>
      <w:r>
        <w:t xml:space="preserve"> </w:t>
      </w:r>
      <w:r>
        <w:t xml:space="preserve">moderate myeloid fraction (+0.36); IDC SPA only, 10 samples from 5 patients. These</w:t>
      </w:r>
      <w:r>
        <w:t xml:space="preserve"> </w:t>
      </w:r>
      <w:r>
        <w:t xml:space="preserve">instances are characterised by proximity to tumour-rich zones rather than by angiogenic</w:t>
      </w:r>
      <w:r>
        <w:t xml:space="preserve"> </w:t>
      </w:r>
      <w:r>
        <w:t xml:space="preserve">signalling, distinguishing them from C3 (VEGFA-driven) and from the immunogenic core of C1.</w:t>
      </w:r>
      <w:r>
        <w:t xml:space="preserve"> </w:t>
      </w:r>
      <w:r>
        <w:t xml:space="preserve">TLS at the tumour–stroma interface have been documented across multiple cancer types and</w:t>
      </w:r>
      <w:r>
        <w:t xml:space="preserve"> </w:t>
      </w:r>
      <w:r>
        <w:t xml:space="preserve">are characterised by greater exposure to tumour-derived myeloid signals compared with TLS</w:t>
      </w:r>
      <w:r>
        <w:t xml:space="preserve"> </w:t>
      </w:r>
      <w:r>
        <w:t xml:space="preserve">in peripheral stromal regions</w:t>
      </w:r>
      <w:r>
        <w:t xml:space="preserve"> </w:t>
      </w:r>
      <w:r>
        <w:t xml:space="preserve">(Sautes-Fridman et al. 2019)</w:t>
      </w:r>
      <w:r>
        <w:t xml:space="preserve">. The elevated neighbourhood myeloid fraction in C5 (+0.36)</w:t>
      </w:r>
      <w:r>
        <w:t xml:space="preserve"> </w:t>
      </w:r>
      <w:r>
        <w:t xml:space="preserve">is consistent with this interface location, where both tumour and myeloid cells cohabit the</w:t>
      </w:r>
      <w:r>
        <w:t xml:space="preserve"> </w:t>
      </w:r>
      <w:r>
        <w:t xml:space="preserve">immediate microenvironment. Whether C5 TLS are functionally suppressed by tumour proximity,</w:t>
      </w:r>
      <w:r>
        <w:t xml:space="preserve"> </w:t>
      </w:r>
      <w:r>
        <w:t xml:space="preserve">or represent an early-stage immune response at the advancing tumour front, cannot be</w:t>
      </w:r>
      <w:r>
        <w:t xml:space="preserve"> </w:t>
      </w:r>
      <w:r>
        <w:t xml:space="preserve">resolved from gene expression alone and would require multiplexed spatial proteomics to</w:t>
      </w:r>
      <w:r>
        <w:t xml:space="preserve"> </w:t>
      </w:r>
      <w:r>
        <w:t xml:space="preserve">assess GC organisation directly.</w:t>
      </w:r>
    </w:p>
    <w:p>
      <w:pPr>
        <w:pStyle w:val="BodyText"/>
      </w:pPr>
      <w:r>
        <w:t xml:space="preserve">TLS polygon area varied significantly across functional states (Kruskal-Wallis</w:t>
      </w:r>
      <w:r>
        <w:t xml:space="preserve"> </w:t>
      </w:r>
      <m:oMath>
        <m:r>
          <m:t>H</m:t>
        </m:r>
      </m:oMath>
      <w:r>
        <w:t xml:space="preserve"> </w:t>
      </w:r>
      <w:r>
        <w:t xml:space="preserve">= 93.7,</w:t>
      </w:r>
      <w:r>
        <w:t xml:space="preserve"> </w:t>
      </w:r>
      <m:oMath>
        <m:r>
          <m:t>p</m:t>
        </m:r>
      </m:oMath>
      <w:r>
        <w:t xml:space="preserve"> </w:t>
      </w:r>
      <w:r>
        <w:t xml:space="preserve">= 1.1 × 10⁻¹⁸). The myeloid-suppressive cluster C4 comprised the largest TLS (mean log area 13.09 ± 0.83 µm²), approximately 3× larger in raw area than the immunogenic C1 (12.00 ± 0.90; Mann-Whitney</w:t>
      </w:r>
      <w:r>
        <w:t xml:space="preserve"> </w:t>
      </w:r>
      <m:oMath>
        <m:sSub>
          <m:e>
            <m:r>
              <m:t>p</m:t>
            </m:r>
          </m:e>
          <m:sub>
            <m:r>
              <m:rPr>
                <m:nor/>
                <m:sty m:val="p"/>
              </m:rPr>
              <m:t>adj</m:t>
            </m:r>
          </m:sub>
        </m:sSub>
      </m:oMath>
      <w:r>
        <w:t xml:space="preserve"> </w:t>
      </w:r>
      <w:r>
        <w:t xml:space="preserve">&lt; 10⁻¹², Bonferroni-corrected). To exclude platform-driven polygon inflation, we compared C4 against C1 instances on the same SPA platform (C4 is SPA-only): within-C1 SPA versus Visium instances are statistically identical in size (mean log area 12.007 vs 11.980,</w:t>
      </w:r>
      <w:r>
        <w:t xml:space="preserve"> </w:t>
      </w:r>
      <m:oMath>
        <m:r>
          <m:t>t</m:t>
        </m:r>
      </m:oMath>
      <w:r>
        <w:t xml:space="preserve"> </w:t>
      </w:r>
      <w:r>
        <w:t xml:space="preserve">= 0.18,</w:t>
      </w:r>
      <w:r>
        <w:t xml:space="preserve"> </w:t>
      </w:r>
      <m:oMath>
        <m:r>
          <m:t>p</m:t>
        </m:r>
      </m:oMath>
      <w:r>
        <w:t xml:space="preserve"> </w:t>
      </w:r>
      <w:r>
        <w:t xml:space="preserve">= 0.86, Cohen</w:t>
      </w:r>
      <w:r>
        <w:t xml:space="preserve"> </w:t>
      </w:r>
      <m:oMath>
        <m:r>
          <m:t>d</m:t>
        </m:r>
      </m:oMath>
      <w:r>
        <w:t xml:space="preserve"> </w:t>
      </w:r>
      <w:r>
        <w:t xml:space="preserve">= 0.029), confirming that the C4 size difference reflects biology not polygon measurement artefact (C4 SPA vs C1 SPA: Cohen</w:t>
      </w:r>
      <w:r>
        <w:t xml:space="preserve"> </w:t>
      </w:r>
      <m:oMath>
        <m:r>
          <m:t>d</m:t>
        </m:r>
      </m:oMath>
      <w:r>
        <w:t xml:space="preserve"> </w:t>
      </w:r>
      <w:r>
        <w:t xml:space="preserve">= 1.25). This suggests myeloid suppression acts on structurally mature TLS rather than nascent aggregates: the immune architecture is established but the surrounding myeloid niche is actively antagonising it, a more concerning biological scenario than C4 representing simply undeveloped structures. By contrast, the immunogenic (C1) and low-activity (C0, 12.21 ± 0.95) clusters were statistically indistinguishable in size (</w:t>
      </w:r>
      <m:oMath>
        <m:sSub>
          <m:e>
            <m:r>
              <m:t>p</m:t>
            </m:r>
          </m:e>
          <m:sub>
            <m:r>
              <m:rPr>
                <m:nor/>
                <m:sty m:val="p"/>
              </m:rPr>
              <m:t>adj</m:t>
            </m:r>
          </m:sub>
        </m:sSub>
      </m:oMath>
      <w:r>
        <w:t xml:space="preserve"> </w:t>
      </w:r>
      <w:r>
        <w:t xml:space="preserve">= 0.41), indicating that functional divergence between these states is driven by in-TLS composition and microenvironmental context, not structural maturation.</w:t>
      </w:r>
    </w:p>
    <w:p>
      <w:pPr>
        <w:pStyle w:val="BodyText"/>
      </w:pPr>
      <w:r>
        <w:t xml:space="preserve">Log area was tested as a 13th clustering feature but excluded from the canonical feature set: its inclusion dissolved the tumour-proximal C5 cluster into C0 (ARI vs 12-feature solution = 0.81), because C5 and C0 overlap substantially in size but are distinguished by neighbourhood tumour fraction. The 12-feature set therefore captures a biologically relevant distinction that size alone does not resolve.</w:t>
      </w:r>
    </w:p>
    <w:bookmarkEnd w:id="27"/>
    <w:bookmarkStart w:id="31" w:name="X73da88c572ebc3d15639da82e8bd247b990e4e7"/>
    <w:p>
      <w:pPr>
        <w:pStyle w:val="Heading2"/>
      </w:pPr>
      <w:r>
        <w:t xml:space="preserve">C1 enriches canonical TLS organisers absent from the feature set</w:t>
      </w:r>
    </w:p>
    <w:p>
      <w:pPr>
        <w:pStyle w:val="FirstParagraph"/>
      </w:pPr>
      <w:r>
        <w:drawing>
          <wp:inline>
            <wp:extent cx="5334000" cy="3425047"/>
            <wp:effectExtent b="0" l="0" r="0" t="0"/>
            <wp:docPr descr="" title="" id="29" name="Picture"/>
            <a:graphic>
              <a:graphicData uri="http://schemas.openxmlformats.org/drawingml/2006/picture">
                <pic:pic>
                  <pic:nvPicPr>
                    <pic:cNvPr descr="figures/fig3_coherence.png" id="30" name="Picture"/>
                    <pic:cNvPicPr>
                      <a:picLocks noChangeArrowheads="1" noChangeAspect="1"/>
                    </pic:cNvPicPr>
                  </pic:nvPicPr>
                  <pic:blipFill>
                    <a:blip r:embed="rId28"/>
                    <a:stretch>
                      <a:fillRect/>
                    </a:stretch>
                  </pic:blipFill>
                  <pic:spPr bwMode="auto">
                    <a:xfrm>
                      <a:off x="0" y="0"/>
                      <a:ext cx="5334000" cy="3425047"/>
                    </a:xfrm>
                    <a:prstGeom prst="rect">
                      <a:avLst/>
                    </a:prstGeom>
                    <a:noFill/>
                    <a:ln w="9525">
                      <a:noFill/>
                      <a:headEnd/>
                      <a:tailEnd/>
                    </a:ln>
                  </pic:spPr>
                </pic:pic>
              </a:graphicData>
            </a:graphic>
          </wp:inline>
        </w:drawing>
      </w:r>
    </w:p>
    <w:p>
      <w:pPr>
        <w:pStyle w:val="BodyText"/>
      </w:pPr>
      <w:r>
        <w:t xml:space="preserve">To validate that the C1 cluster label reflects genuine immunogenic TLS biology rather than</w:t>
      </w:r>
      <w:r>
        <w:t xml:space="preserve"> </w:t>
      </w:r>
      <w:r>
        <w:t xml:space="preserve">a statistical artefact of the feature set, we tested expression of canonical TLS organiser</w:t>
      </w:r>
      <w:r>
        <w:t xml:space="preserve"> </w:t>
      </w:r>
      <w:r>
        <w:t xml:space="preserve">genes not present in any of the 12 clustering features, ensuring that validation was not</w:t>
      </w:r>
      <w:r>
        <w:t xml:space="preserve"> </w:t>
      </w:r>
      <w:r>
        <w:t xml:space="preserve">circular with feature construction.</w:t>
      </w:r>
    </w:p>
    <w:p>
      <w:pPr>
        <w:pStyle w:val="BodyText"/>
      </w:pPr>
      <w:r>
        <w:t xml:space="preserve">In-TLS spots from C1 instances showed markedly elevated expression of</w:t>
      </w:r>
      <w:r>
        <w:t xml:space="preserve"> </w:t>
      </w:r>
      <w:r>
        <w:rPr>
          <w:i/>
          <w:iCs/>
        </w:rPr>
        <w:t xml:space="preserve">IGHD</w:t>
      </w:r>
      <w:r>
        <w:t xml:space="preserve"> </w:t>
      </w:r>
      <w:r>
        <w:t xml:space="preserve">(21.8× above</w:t>
      </w:r>
      <w:r>
        <w:t xml:space="preserve"> </w:t>
      </w:r>
      <w:r>
        <w:t xml:space="preserve">cohort mean),</w:t>
      </w:r>
      <w:r>
        <w:t xml:space="preserve"> </w:t>
      </w:r>
      <w:r>
        <w:rPr>
          <w:i/>
          <w:iCs/>
        </w:rPr>
        <w:t xml:space="preserve">CR2</w:t>
      </w:r>
      <w:r>
        <w:t xml:space="preserve">/CD21 (9.4×), lymphotoxin-alpha (</w:t>
      </w:r>
      <w:r>
        <w:rPr>
          <w:i/>
          <w:iCs/>
        </w:rPr>
        <w:t xml:space="preserve">LTA</w:t>
      </w:r>
      <w:r>
        <w:t xml:space="preserve">, 6.0×),</w:t>
      </w:r>
      <w:r>
        <w:t xml:space="preserve"> </w:t>
      </w:r>
      <w:r>
        <w:rPr>
          <w:i/>
          <w:iCs/>
        </w:rPr>
        <w:t xml:space="preserve">MS4A1</w:t>
      </w:r>
      <w:r>
        <w:t xml:space="preserve">/CD20 (4.0×),</w:t>
      </w:r>
      <w:r>
        <w:t xml:space="preserve"> </w:t>
      </w:r>
      <w:r>
        <w:t xml:space="preserve">and</w:t>
      </w:r>
      <w:r>
        <w:t xml:space="preserve"> </w:t>
      </w:r>
      <w:r>
        <w:rPr>
          <w:i/>
          <w:iCs/>
        </w:rPr>
        <w:t xml:space="preserve">TNFSF13B</w:t>
      </w:r>
      <w:r>
        <w:t xml:space="preserve">/BAFF (4.0×).</w:t>
      </w:r>
      <w:r>
        <w:t xml:space="preserve"> </w:t>
      </w:r>
      <w:r>
        <w:rPr>
          <w:i/>
          <w:iCs/>
        </w:rPr>
        <w:t xml:space="preserve">IGHD</w:t>
      </w:r>
      <w:r>
        <w:t xml:space="preserve"> </w:t>
      </w:r>
      <w:r>
        <w:t xml:space="preserve">encodes the IgD heavy chain constant region and is</w:t>
      </w:r>
      <w:r>
        <w:t xml:space="preserve"> </w:t>
      </w:r>
      <w:r>
        <w:t xml:space="preserve">selectively expressed by naive and transitional B cells that have not yet undergone class</w:t>
      </w:r>
      <w:r>
        <w:t xml:space="preserve"> </w:t>
      </w:r>
      <w:r>
        <w:t xml:space="preserve">switching; its strong enrichment in C1 reflects continuous recruitment of naive B cell</w:t>
      </w:r>
      <w:r>
        <w:t xml:space="preserve"> </w:t>
      </w:r>
      <w:r>
        <w:t xml:space="preserve">precursors into active GC reactions, consistent with the high Plasma_score (class-switched</w:t>
      </w:r>
      <w:r>
        <w:t xml:space="preserve"> </w:t>
      </w:r>
      <w:r>
        <w:t xml:space="preserve">output: IGHG1, MZB1) in the same cluster. Together,</w:t>
      </w:r>
      <w:r>
        <w:t xml:space="preserve"> </w:t>
      </w:r>
      <w:r>
        <w:rPr>
          <w:i/>
          <w:iCs/>
        </w:rPr>
        <w:t xml:space="preserve">IGHD</w:t>
      </w:r>
      <w:r>
        <w:t xml:space="preserve"> </w:t>
      </w:r>
      <w:r>
        <w:t xml:space="preserve">and Plasma_score mark both the</w:t>
      </w:r>
      <w:r>
        <w:t xml:space="preserve"> </w:t>
      </w:r>
      <w:r>
        <w:t xml:space="preserve">input and output arms of the GC reaction simultaneously, a hallmark of productive ongoing</w:t>
      </w:r>
      <w:r>
        <w:t xml:space="preserve"> </w:t>
      </w:r>
      <w:r>
        <w:t xml:space="preserve">germinal centre activity</w:t>
      </w:r>
      <w:r>
        <w:t xml:space="preserve"> </w:t>
      </w:r>
      <w:r>
        <w:t xml:space="preserve">(Gitlin et al. 2014)</w:t>
      </w:r>
      <w:r>
        <w:t xml:space="preserve">.</w:t>
      </w:r>
      <w:r>
        <w:t xml:space="preserve"> </w:t>
      </w:r>
      <w:r>
        <w:rPr>
          <w:i/>
          <w:iCs/>
        </w:rPr>
        <w:t xml:space="preserve">CR2</w:t>
      </w:r>
      <w:r>
        <w:t xml:space="preserve">/CD21 marks follicular dendritic cells critical</w:t>
      </w:r>
      <w:r>
        <w:t xml:space="preserve"> </w:t>
      </w:r>
      <w:r>
        <w:t xml:space="preserve">for antigen presentation within the GC,</w:t>
      </w:r>
      <w:r>
        <w:t xml:space="preserve"> </w:t>
      </w:r>
      <w:r>
        <w:rPr>
          <w:i/>
          <w:iCs/>
        </w:rPr>
        <w:t xml:space="preserve">LTA</w:t>
      </w:r>
      <w:r>
        <w:t xml:space="preserve"> </w:t>
      </w:r>
      <w:r>
        <w:t xml:space="preserve">(lymphotoxin-alpha) is required for B cell</w:t>
      </w:r>
      <w:r>
        <w:t xml:space="preserve"> </w:t>
      </w:r>
      <w:r>
        <w:t xml:space="preserve">zone organisation and HEV maintenance</w:t>
      </w:r>
      <w:r>
        <w:t xml:space="preserve"> </w:t>
      </w:r>
      <w:r>
        <w:t xml:space="preserve">(Drayton et al. 2006)</w:t>
      </w:r>
      <w:r>
        <w:t xml:space="preserve">, and</w:t>
      </w:r>
      <w:r>
        <w:t xml:space="preserve"> </w:t>
      </w:r>
      <w:r>
        <w:rPr>
          <w:i/>
          <w:iCs/>
        </w:rPr>
        <w:t xml:space="preserve">MS4A1</w:t>
      </w:r>
      <w:r>
        <w:t xml:space="preserve">/CD20 marks mature B</w:t>
      </w:r>
      <w:r>
        <w:t xml:space="preserve"> </w:t>
      </w:r>
      <w:r>
        <w:t xml:space="preserve">cells. None of these five genes appear in the 12 clustering features. The concordant</w:t>
      </w:r>
      <w:r>
        <w:t xml:space="preserve"> </w:t>
      </w:r>
      <w:r>
        <w:t xml:space="preserve">enrichment across four mechanistically distinct compartments (naive B cell input, GC</w:t>
      </w:r>
      <w:r>
        <w:t xml:space="preserve"> </w:t>
      </w:r>
      <w:r>
        <w:t xml:space="preserve">structural organisation, lymphotoxin signalling, and mature B cell content) provides</w:t>
      </w:r>
      <w:r>
        <w:t xml:space="preserve"> </w:t>
      </w:r>
      <w:r>
        <w:t xml:space="preserve">independent biological validation of the C1 immunogenic state label (Figure</w:t>
      </w:r>
      <w:r>
        <w:t xml:space="preserve"> </w:t>
      </w:r>
      <w:r>
        <w:t xml:space="preserve">).</w:t>
      </w:r>
    </w:p>
    <w:bookmarkEnd w:id="31"/>
    <w:bookmarkStart w:id="35" w:name="X8653d437faaded2cc9766d08ac851feed69b64f"/>
    <w:p>
      <w:pPr>
        <w:pStyle w:val="Heading2"/>
      </w:pPr>
      <w:r>
        <w:t xml:space="preserve">C1 independently predicts survival across three bulk transcriptomic cohorts</w:t>
      </w:r>
    </w:p>
    <w:p>
      <w:pPr>
        <w:pStyle w:val="FirstParagraph"/>
      </w:pPr>
      <w:r>
        <w:drawing>
          <wp:inline>
            <wp:extent cx="5334000" cy="3344007"/>
            <wp:effectExtent b="0" l="0" r="0" t="0"/>
            <wp:docPr descr="" title="" id="33" name="Picture"/>
            <a:graphic>
              <a:graphicData uri="http://schemas.openxmlformats.org/drawingml/2006/picture">
                <pic:pic>
                  <pic:nvPicPr>
                    <pic:cNvPr descr="figures/fig4_survival.png" id="34" name="Picture"/>
                    <pic:cNvPicPr>
                      <a:picLocks noChangeArrowheads="1" noChangeAspect="1"/>
                    </pic:cNvPicPr>
                  </pic:nvPicPr>
                  <pic:blipFill>
                    <a:blip r:embed="rId32"/>
                    <a:stretch>
                      <a:fillRect/>
                    </a:stretch>
                  </pic:blipFill>
                  <pic:spPr bwMode="auto">
                    <a:xfrm>
                      <a:off x="0" y="0"/>
                      <a:ext cx="5334000" cy="3344007"/>
                    </a:xfrm>
                    <a:prstGeom prst="rect">
                      <a:avLst/>
                    </a:prstGeom>
                    <a:noFill/>
                    <a:ln w="9525">
                      <a:noFill/>
                      <a:headEnd/>
                      <a:tailEnd/>
                    </a:ln>
                  </pic:spPr>
                </pic:pic>
              </a:graphicData>
            </a:graphic>
          </wp:inline>
        </w:drawing>
      </w:r>
    </w:p>
    <w:p>
      <w:pPr>
        <w:pStyle w:val="BodyText"/>
      </w:pPr>
      <w:r>
        <w:t xml:space="preserve">To test whether the immunogenic TLS state identified from ST correlates with clinical</w:t>
      </w:r>
      <w:r>
        <w:t xml:space="preserve"> </w:t>
      </w:r>
      <w:r>
        <w:t xml:space="preserve">outcome in bulk transcriptomic datasets, we computed the C1 gene module score in</w:t>
      </w:r>
      <w:r>
        <w:t xml:space="preserve"> </w:t>
      </w:r>
      <w:r>
        <w:t xml:space="preserve">TCGA-BRCA (</w:t>
      </w:r>
      <m:oMath>
        <m:r>
          <m:t>n</m:t>
        </m:r>
      </m:oMath>
      <w:r>
        <w:t xml:space="preserve"> </w:t>
      </w:r>
      <w:r>
        <w:t xml:space="preserve">= 1,211), METABRIC (</w:t>
      </w:r>
      <m:oMath>
        <m:r>
          <m:t>n</m:t>
        </m:r>
      </m:oMath>
      <w:r>
        <w:t xml:space="preserve"> </w:t>
      </w:r>
      <w:r>
        <w:t xml:space="preserve">= 1,980), and TCGA-CESC (</w:t>
      </w:r>
      <m:oMath>
        <m:r>
          <m:t>n</m:t>
        </m:r>
      </m:oMath>
      <w:r>
        <w:t xml:space="preserve"> </w:t>
      </w:r>
      <w:r>
        <w:t xml:space="preserve">= 304).</w:t>
      </w:r>
    </w:p>
    <w:p>
      <w:pPr>
        <w:pStyle w:val="BodyText"/>
      </w:pPr>
      <w:r>
        <w:rPr>
          <w:b/>
          <w:bCs/>
        </w:rPr>
        <w:t xml:space="preserve">TCGA-BRCA.</w:t>
      </w:r>
      <w:r>
        <w:t xml:space="preserve"> </w:t>
      </w:r>
      <w:r>
        <w:t xml:space="preserve">Kaplan-Meier analysis by top vs bottom quartile C1 score showed</w:t>
      </w:r>
      <w:r>
        <w:t xml:space="preserve"> </w:t>
      </w:r>
      <w:r>
        <w:t xml:space="preserve">significantly better PFI for high-C1 patients (log-rank</w:t>
      </w:r>
      <w:r>
        <w:t xml:space="preserve"> </w:t>
      </w:r>
      <m:oMath>
        <m:r>
          <m:t>p</m:t>
        </m:r>
      </m:oMath>
      <w:r>
        <w:t xml:space="preserve"> </w:t>
      </w:r>
      <w:r>
        <w:t xml:space="preserve">= 0.0015; Figure</w:t>
      </w:r>
      <w:r>
        <w:t xml:space="preserve"> </w:t>
      </w:r>
      <w:r>
        <w:t xml:space="preserve">). In multivariate Cox regression adjusted for age, stage, and PAM50</w:t>
      </w:r>
      <w:r>
        <w:t xml:space="preserve"> </w:t>
      </w:r>
      <w:r>
        <w:t xml:space="preserve">subtype (reference LumA,</w:t>
      </w:r>
      <w:r>
        <w:t xml:space="preserve"> </w:t>
      </w:r>
      <m:oMath>
        <m:r>
          <m:t>n</m:t>
        </m:r>
      </m:oMath>
      <w:r>
        <w:t xml:space="preserve"> </w:t>
      </w:r>
      <w:r>
        <w:t xml:space="preserve">= 927), C1 was independently protective (HR = 0.915</w:t>
      </w:r>
      <w:r>
        <w:t xml:space="preserve"> </w:t>
      </w:r>
      <w:r>
        <w:t xml:space="preserve">[0.844–0.992],</w:t>
      </w:r>
      <w:r>
        <w:t xml:space="preserve"> </w:t>
      </w:r>
      <m:oMath>
        <m:r>
          <m:t>p</m:t>
        </m:r>
      </m:oMath>
      <w:r>
        <w:t xml:space="preserve"> </w:t>
      </w:r>
      <w:r>
        <w:t xml:space="preserve">= 0.031). The C4 suppressive module showed no association (HR = 0.996</w:t>
      </w:r>
      <w:r>
        <w:t xml:space="preserve"> </w:t>
      </w:r>
      <w:r>
        <w:t xml:space="preserve">[0.886–1.121],</w:t>
      </w:r>
      <w:r>
        <w:t xml:space="preserve"> </w:t>
      </w:r>
      <m:oMath>
        <m:r>
          <m:t>p</m:t>
        </m:r>
      </m:oMath>
      <w:r>
        <w:t xml:space="preserve"> </w:t>
      </w:r>
      <w:r>
        <w:t xml:space="preserve">= 0.953). PAM50-stratified analysis revealed that the C1 survival</w:t>
      </w:r>
      <w:r>
        <w:t xml:space="preserve"> </w:t>
      </w:r>
      <w:r>
        <w:t xml:space="preserve">benefit was most pronounced in Luminal B tumours (log-rank</w:t>
      </w:r>
      <w:r>
        <w:t xml:space="preserve"> </w:t>
      </w:r>
      <m:oMath>
        <m:r>
          <m:t>p</m:t>
        </m:r>
      </m:oMath>
      <w:r>
        <w:t xml:space="preserve"> </w:t>
      </w:r>
      <w:r>
        <w:t xml:space="preserve">= 0.013), which do not</w:t>
      </w:r>
      <w:r>
        <w:t xml:space="preserve"> </w:t>
      </w:r>
      <w:r>
        <w:t xml:space="preserve">currently receive checkpoint therapy as standard of care.</w:t>
      </w:r>
    </w:p>
    <w:p>
      <w:pPr>
        <w:pStyle w:val="BodyText"/>
      </w:pPr>
      <w:r>
        <w:rPr>
          <w:b/>
          <w:bCs/>
        </w:rPr>
        <w:t xml:space="preserve">METABRIC.</w:t>
      </w:r>
      <w:r>
        <w:t xml:space="preserve"> </w:t>
      </w:r>
      <w:r>
        <w:t xml:space="preserve">The C1 effect replicated with an attenuated but statistically robust signal</w:t>
      </w:r>
      <w:r>
        <w:t xml:space="preserve"> </w:t>
      </w:r>
      <w:r>
        <w:t xml:space="preserve">(Cox HR = 0.855 [0.770–0.948],</w:t>
      </w:r>
      <w:r>
        <w:t xml:space="preserve"> </w:t>
      </w:r>
      <m:oMath>
        <m:r>
          <m:t>p</m:t>
        </m:r>
      </m:oMath>
      <w:r>
        <w:t xml:space="preserve"> </w:t>
      </w:r>
      <w:r>
        <w:t xml:space="preserve">= 0.003, adjusted for age, NPI, and PAM50). The C4</w:t>
      </w:r>
      <w:r>
        <w:t xml:space="preserve"> </w:t>
      </w:r>
      <w:r>
        <w:t xml:space="preserve">module was again null (HR = 1.000 [0.876–1.141],</w:t>
      </w:r>
      <w:r>
        <w:t xml:space="preserve"> </w:t>
      </w:r>
      <m:oMath>
        <m:r>
          <m:t>p</m:t>
        </m:r>
      </m:oMath>
      <w:r>
        <w:t xml:space="preserve"> </w:t>
      </w:r>
      <w:r>
        <w:t xml:space="preserve">= 0.999). The C1 Luminal B</w:t>
      </w:r>
      <w:r>
        <w:t xml:space="preserve"> </w:t>
      </w:r>
      <w:r>
        <w:t xml:space="preserve">association from TCGA was not replicated in METABRIC (log-rank</w:t>
      </w:r>
      <w:r>
        <w:t xml:space="preserve"> </w:t>
      </w:r>
      <m:oMath>
        <m:r>
          <m:t>p</m:t>
        </m:r>
      </m:oMath>
      <w:r>
        <w:t xml:space="preserve"> </w:t>
      </w:r>
      <w:r>
        <w:t xml:space="preserve">= 0.302), potentially</w:t>
      </w:r>
      <w:r>
        <w:t xml:space="preserve"> </w:t>
      </w:r>
      <w:r>
        <w:t xml:space="preserve">reflecting PAM50 misclassification on the older Agilent array platform and treatment-era</w:t>
      </w:r>
      <w:r>
        <w:t xml:space="preserve"> </w:t>
      </w:r>
      <w:r>
        <w:t xml:space="preserve">differences (METABRIC 2000–2010 pre-dates checkpoint therapy).</w:t>
      </w:r>
    </w:p>
    <w:p>
      <w:pPr>
        <w:pStyle w:val="BodyText"/>
      </w:pPr>
      <w:r>
        <w:rPr>
          <w:b/>
          <w:bCs/>
        </w:rPr>
        <w:t xml:space="preserve">TCGA-CESC.</w:t>
      </w:r>
      <w:r>
        <w:t xml:space="preserve"> </w:t>
      </w:r>
      <w:r>
        <w:t xml:space="preserve">To test generalisability beyond breast cancer, we applied the same C1</w:t>
      </w:r>
      <w:r>
        <w:t xml:space="preserve"> </w:t>
      </w:r>
      <w:r>
        <w:t xml:space="preserve">module to TCGA cervical squamous cell carcinoma, a cancer type represented in our HEST</w:t>
      </w:r>
      <w:r>
        <w:t xml:space="preserve"> </w:t>
      </w:r>
      <w:r>
        <w:t xml:space="preserve">cohort (12 ST instances, predominantly in C1 and C2). C1 was independently protective</w:t>
      </w:r>
      <w:r>
        <w:t xml:space="preserve"> </w:t>
      </w:r>
      <w:r>
        <w:t xml:space="preserve">(Cox HR = 0.562 [0.345–0.918],</w:t>
      </w:r>
      <w:r>
        <w:t xml:space="preserve"> </w:t>
      </w:r>
      <m:oMath>
        <m:r>
          <m:t>p</m:t>
        </m:r>
      </m:oMath>
      <w:r>
        <w:t xml:space="preserve"> </w:t>
      </w:r>
      <w:r>
        <w:t xml:space="preserve">= 0.021, adjusted for age,</w:t>
      </w:r>
      <w:r>
        <w:t xml:space="preserve"> </w:t>
      </w:r>
      <m:oMath>
        <m:r>
          <m:t>n</m:t>
        </m:r>
      </m:oMath>
      <w:r>
        <w:t xml:space="preserve"> </w:t>
      </w:r>
      <w:r>
        <w:t xml:space="preserve">= 304, 72 OS events),</w:t>
      </w:r>
      <w:r>
        <w:t xml:space="preserve"> </w:t>
      </w:r>
      <w:r>
        <w:t xml:space="preserve">consistent with the established role of TLS-organised immune responses in HPV-driven</w:t>
      </w:r>
      <w:r>
        <w:t xml:space="preserve"> </w:t>
      </w:r>
      <w:r>
        <w:t xml:space="preserve">tumours</w:t>
      </w:r>
      <w:r>
        <w:t xml:space="preserve"> </w:t>
      </w:r>
      <w:r>
        <w:t xml:space="preserve">(Sautes-Fridman et al. 2019)</w:t>
      </w:r>
      <w:r>
        <w:t xml:space="preserve">. The C4 module showed a borderline association in CESC</w:t>
      </w:r>
      <w:r>
        <w:t xml:space="preserve"> </w:t>
      </w:r>
      <w:r>
        <w:t xml:space="preserve">(HR = 0.589,</w:t>
      </w:r>
      <w:r>
        <w:t xml:space="preserve"> </w:t>
      </w:r>
      <m:oMath>
        <m:r>
          <m:t>p</m:t>
        </m:r>
      </m:oMath>
      <w:r>
        <w:t xml:space="preserve"> </w:t>
      </w:r>
      <w:r>
        <w:t xml:space="preserve">= 0.036); unlike BRCA, the individual C4 genes (PD-L1/CD274, IDO1,</w:t>
      </w:r>
      <w:r>
        <w:t xml:space="preserve"> </w:t>
      </w:r>
      <w:r>
        <w:t xml:space="preserve">FOXP3) are co-expressed with productive anti-tumour immunity in HPV+ cervical cancer</w:t>
      </w:r>
      <w:r>
        <w:t xml:space="preserve"> </w:t>
      </w:r>
      <w:r>
        <w:t xml:space="preserve">(Schumacher and Thommen 2022)</w:t>
      </w:r>
      <w:r>
        <w:t xml:space="preserve">, so the bulk signal in CESC likely reflects general immune activation rather</w:t>
      </w:r>
      <w:r>
        <w:t xml:space="preserve"> </w:t>
      </w:r>
      <w:r>
        <w:t xml:space="preserve">than the myeloid ring suppression that defines C4 spatially.</w:t>
      </w:r>
    </w:p>
    <w:p>
      <w:pPr>
        <w:pStyle w:val="BodyText"/>
      </w:pPr>
      <w:r>
        <w:t xml:space="preserve">The null result for C4 in bulk cohorts reflects two compounding factors absent from the</w:t>
      </w:r>
      <w:r>
        <w:t xml:space="preserve"> </w:t>
      </w:r>
      <w:r>
        <w:t xml:space="preserve">C1 case. First, C4’s defining signal is spatially relative: the relevant biological feature</w:t>
      </w:r>
      <w:r>
        <w:t xml:space="preserve"> </w:t>
      </w:r>
      <w:r>
        <w:t xml:space="preserve">is myeloid cell concentration specifically in the 300 µm ring surrounding TLS, not myeloid</w:t>
      </w:r>
      <w:r>
        <w:t xml:space="preserve"> </w:t>
      </w:r>
      <w:r>
        <w:t xml:space="preserve">cell abundance per se. Bulk RNA-seq destroys this spatial reference entirely: a tumour</w:t>
      </w:r>
      <w:r>
        <w:t xml:space="preserve"> </w:t>
      </w:r>
      <w:r>
        <w:t xml:space="preserve">with myeloid cells concentrated around TLS and one with the same cells diffusely distributed</w:t>
      </w:r>
      <w:r>
        <w:t xml:space="preserve"> </w:t>
      </w:r>
      <w:r>
        <w:t xml:space="preserve">are indistinguishable. Second, the cell types carrying C4’s marker genes (myeloid cells</w:t>
      </w:r>
      <w:r>
        <w:t xml:space="preserve"> </w:t>
      </w:r>
      <w:r>
        <w:t xml:space="preserve">expressing ARG1, MRC1, IDO1) are distributed throughout tumours regardless of TLS organisation,</w:t>
      </w:r>
      <w:r>
        <w:t xml:space="preserve"> </w:t>
      </w:r>
      <w:r>
        <w:t xml:space="preserve">producing high background expression that masks any TLS-proximal enrichment signal.</w:t>
      </w:r>
      <w:r>
        <w:t xml:space="preserve"> </w:t>
      </w:r>
      <w:r>
        <w:t xml:space="preserve">By contrast, C1’s marker genes are expressed by cell types — plasma cells, GC B cells,</w:t>
      </w:r>
      <w:r>
        <w:t xml:space="preserve"> </w:t>
      </w:r>
      <w:r>
        <w:t xml:space="preserve">Tfh cells — that are rare outside organised TLS, so their bulk abundance remains informative</w:t>
      </w:r>
      <w:r>
        <w:t xml:space="preserve"> </w:t>
      </w:r>
      <w:r>
        <w:t xml:space="preserve">about TLS composition even after spatial context is lost.</w:t>
      </w:r>
    </w:p>
    <w:p>
      <w:pPr>
        <w:pStyle w:val="BodyText"/>
      </w:pPr>
      <w:r>
        <w:t xml:space="preserve">The C1 survival module captures only the gene expression component of cluster C1:</w:t>
      </w:r>
      <w:r>
        <w:t xml:space="preserve"> </w:t>
      </w:r>
      <w:r>
        <w:t xml:space="preserve">the in-TLS cell-type composition encoded in Block 1 features, while the spatial neighbourhood</w:t>
      </w:r>
      <w:r>
        <w:t xml:space="preserve"> </w:t>
      </w:r>
      <w:r>
        <w:t xml:space="preserve">context that contributed to C1 cluster assignment (Block 3, including CD8A neighbourhood enrichment)</w:t>
      </w:r>
      <w:r>
        <w:t xml:space="preserve"> </w:t>
      </w:r>
      <w:r>
        <w:t xml:space="preserve">is absent from bulk data entirely. That a partial projection of the C1 signal onto bulk-measurable</w:t>
      </w:r>
      <w:r>
        <w:t xml:space="preserve"> </w:t>
      </w:r>
      <w:r>
        <w:t xml:space="preserve">genes produces significant and replicable survival associations across three independent cohorts</w:t>
      </w:r>
      <w:r>
        <w:t xml:space="preserve"> </w:t>
      </w:r>
      <w:r>
        <w:t xml:space="preserve">suggests that the full instance-level spatial signal, were it directly measurable in clinical samples,</w:t>
      </w:r>
      <w:r>
        <w:t xml:space="preserve"> </w:t>
      </w:r>
      <w:r>
        <w:t xml:space="preserve">would provide at least equivalent and potentially stronger prognostic resolution.</w:t>
      </w:r>
    </w:p>
    <w:bookmarkEnd w:id="35"/>
    <w:bookmarkStart w:id="39" w:name="X2dcc448fccbcce0d86a348829f8e44323a60c7d"/>
    <w:p>
      <w:pPr>
        <w:pStyle w:val="Heading2"/>
      </w:pPr>
      <w:r>
        <w:t xml:space="preserve">Pre-treatment C1 score predicts pembrolizumab response in TNBC</w:t>
      </w:r>
    </w:p>
    <w:p>
      <w:pPr>
        <w:pStyle w:val="FirstParagraph"/>
      </w:pPr>
      <w:r>
        <w:drawing>
          <wp:inline>
            <wp:extent cx="5334000" cy="3093145"/>
            <wp:effectExtent b="0" l="0" r="0" t="0"/>
            <wp:docPr descr="" title="" id="37" name="Picture"/>
            <a:graphic>
              <a:graphicData uri="http://schemas.openxmlformats.org/drawingml/2006/picture">
                <pic:pic>
                  <pic:nvPicPr>
                    <pic:cNvPr descr="figures/fig5_shiao.png" id="38" name="Picture"/>
                    <pic:cNvPicPr>
                      <a:picLocks noChangeArrowheads="1" noChangeAspect="1"/>
                    </pic:cNvPicPr>
                  </pic:nvPicPr>
                  <pic:blipFill>
                    <a:blip r:embed="rId36"/>
                    <a:stretch>
                      <a:fillRect/>
                    </a:stretch>
                  </pic:blipFill>
                  <pic:spPr bwMode="auto">
                    <a:xfrm>
                      <a:off x="0" y="0"/>
                      <a:ext cx="5334000" cy="3093145"/>
                    </a:xfrm>
                    <a:prstGeom prst="rect">
                      <a:avLst/>
                    </a:prstGeom>
                    <a:noFill/>
                    <a:ln w="9525">
                      <a:noFill/>
                      <a:headEnd/>
                      <a:tailEnd/>
                    </a:ln>
                  </pic:spPr>
                </pic:pic>
              </a:graphicData>
            </a:graphic>
          </wp:inline>
        </w:drawing>
      </w:r>
    </w:p>
    <w:p>
      <w:pPr>
        <w:pStyle w:val="BodyText"/>
      </w:pPr>
      <w:r>
        <w:t xml:space="preserve">To ask whether the C1 state defined from ST predicts pre-treatment immune readiness for</w:t>
      </w:r>
      <w:r>
        <w:t xml:space="preserve"> </w:t>
      </w:r>
      <w:r>
        <w:t xml:space="preserve">checkpoint blockade, we scored TNBC biopsies from the Shiao et al. 2024 pembrolizumab ±</w:t>
      </w:r>
      <w:r>
        <w:t xml:space="preserve"> </w:t>
      </w:r>
      <w:r>
        <w:t xml:space="preserve">radiotherapy trial</w:t>
      </w:r>
      <w:r>
        <w:t xml:space="preserve"> </w:t>
      </w:r>
      <w:r>
        <w:t xml:space="preserve">(</w:t>
      </w:r>
      <w:r>
        <w:t xml:space="preserve">Shiao et al.</w:t>
      </w:r>
      <w:r>
        <w:t xml:space="preserve"> </w:t>
      </w:r>
      <w:r>
        <w:t xml:space="preserve">2024)</w:t>
      </w:r>
      <w:r>
        <w:t xml:space="preserve"> </w:t>
      </w:r>
      <w:r>
        <w:t xml:space="preserve">using the C1 and C4 gene modules.</w:t>
      </w:r>
    </w:p>
    <w:p>
      <w:pPr>
        <w:pStyle w:val="BodyText"/>
      </w:pPr>
      <w:r>
        <w:t xml:space="preserve">Pre-treatment C1 pseudobulk scores were significantly higher in patients achieving pCR</w:t>
      </w:r>
      <w:r>
        <w:t xml:space="preserve"> </w:t>
      </w:r>
      <w:r>
        <w:t xml:space="preserve">than in non-responders (R median = +0.142, NR median = −0.038, Mann-Whitney</w:t>
      </w:r>
      <w:r>
        <w:t xml:space="preserve"> </w:t>
      </w:r>
      <m:oMath>
        <m:r>
          <m:t>p</m:t>
        </m:r>
      </m:oMath>
      <w:r>
        <w:t xml:space="preserve"> </w:t>
      </w:r>
      <w:r>
        <w:t xml:space="preserve">= 0.030;</w:t>
      </w:r>
      <w:r>
        <w:t xml:space="preserve"> </w:t>
      </w:r>
      <m:oMath>
        <m:r>
          <m:t>n</m:t>
        </m:r>
      </m:oMath>
      <w:r>
        <w:t xml:space="preserve"> </w:t>
      </w:r>
      <w:r>
        <w:t xml:space="preserve">= 34 baseline samples with known pCR: R = 24, NR = 10; Figure</w:t>
      </w:r>
      <w:r>
        <w:t xml:space="preserve"> </w:t>
      </w:r>
      <w:r>
        <w:t xml:space="preserve">).</w:t>
      </w:r>
      <w:r>
        <w:t xml:space="preserve"> </w:t>
      </w:r>
      <w:r>
        <w:t xml:space="preserve">Continuous C1 scores showed a dose-response relationship with RCB: Spearman</w:t>
      </w:r>
      <w:r>
        <w:t xml:space="preserve"> </w:t>
      </w:r>
      <m:oMath>
        <m:r>
          <m:t>ρ</m:t>
        </m:r>
      </m:oMath>
      <w:r>
        <w:t xml:space="preserve"> </w:t>
      </w:r>
      <w:r>
        <w:t xml:space="preserve">= −0.384</w:t>
      </w:r>
      <w:r>
        <w:t xml:space="preserve"> </w:t>
      </w:r>
      <w:r>
        <w:t xml:space="preserve">(</w:t>
      </w:r>
      <m:oMath>
        <m:r>
          <m:t>p</m:t>
        </m:r>
      </m:oMath>
      <w:r>
        <w:t xml:space="preserve"> </w:t>
      </w:r>
      <w:r>
        <w:t xml:space="preserve">= 0.040), meaning higher pre-treatment C1 signal corresponds to less residual disease</w:t>
      </w:r>
      <w:r>
        <w:t xml:space="preserve"> </w:t>
      </w:r>
      <w:r>
        <w:t xml:space="preserve">after treatment. The C4 suppressive module was borderline on pCR (Mann-Whitney</w:t>
      </w:r>
      <w:r>
        <w:t xml:space="preserve"> </w:t>
      </w:r>
      <m:oMath>
        <m:r>
          <m:t>p</m:t>
        </m:r>
      </m:oMath>
      <w:r>
        <w:t xml:space="preserve"> </w:t>
      </w:r>
      <w:r>
        <w:t xml:space="preserve">= 0.047)</w:t>
      </w:r>
      <w:r>
        <w:t xml:space="preserve"> </w:t>
      </w:r>
      <w:r>
        <w:t xml:space="preserve">but null for the continuous RCB endpoint (</w:t>
      </w:r>
      <m:oMath>
        <m:r>
          <m:t>ρ</m:t>
        </m:r>
      </m:oMath>
      <w:r>
        <w:t xml:space="preserve"> </w:t>
      </w:r>
      <w:r>
        <w:t xml:space="preserve">= −0.177,</w:t>
      </w:r>
      <w:r>
        <w:t xml:space="preserve"> </w:t>
      </w:r>
      <m:oMath>
        <m:r>
          <m:t>p</m:t>
        </m:r>
      </m:oMath>
      <w:r>
        <w:t xml:space="preserve"> </w:t>
      </w:r>
      <w:r>
        <w:t xml:space="preserve">= 0.358).</w:t>
      </w:r>
    </w:p>
    <w:p>
      <w:pPr>
        <w:pStyle w:val="BodyText"/>
      </w:pPr>
      <w:r>
        <w:t xml:space="preserve">This result is prospective-adjacent: the C1 score is measured in pre-treatment biopsies</w:t>
      </w:r>
      <w:r>
        <w:t xml:space="preserve"> </w:t>
      </w:r>
      <w:r>
        <w:t xml:space="preserve">and tested against post-treatment pathological outcomes. Unlike post-hoc survival</w:t>
      </w:r>
      <w:r>
        <w:t xml:space="preserve"> </w:t>
      </w:r>
      <w:r>
        <w:t xml:space="preserve">associations, it measures the state of the immune microenvironment before any therapeutic</w:t>
      </w:r>
      <w:r>
        <w:t xml:space="preserve"> </w:t>
      </w:r>
      <w:r>
        <w:t xml:space="preserve">perturbation, more directly testing whether the immunogenic TLS state represents genuine</w:t>
      </w:r>
      <w:r>
        <w:t xml:space="preserve"> </w:t>
      </w:r>
      <w:r>
        <w:t xml:space="preserve">functional immunity rather than an epiphenomenon of tumour biology.</w:t>
      </w:r>
    </w:p>
    <w:bookmarkEnd w:id="39"/>
    <w:bookmarkStart w:id="40" w:name="X0e16735dd7341cc304e4c13e29af2763d795073"/>
    <w:p>
      <w:pPr>
        <w:pStyle w:val="Heading2"/>
      </w:pPr>
      <w:r>
        <w:t xml:space="preserve">C4 is a spatial microenvironmental state invisible to bulk transcriptomics</w:t>
      </w:r>
    </w:p>
    <w:p>
      <w:pPr>
        <w:pStyle w:val="FirstParagraph"/>
      </w:pPr>
      <w:r>
        <w:t xml:space="preserve">The myeloid-suppressive cluster C4 is characterised by features that are inherently</w:t>
      </w:r>
      <w:r>
        <w:t xml:space="preserve"> </w:t>
      </w:r>
      <w:r>
        <w:t xml:space="preserve">spatial: an elevated myeloid fraction and TGFβ signal in the 300 µm ring surrounding each</w:t>
      </w:r>
      <w:r>
        <w:t xml:space="preserve"> </w:t>
      </w:r>
      <w:r>
        <w:t xml:space="preserve">TLS, not within it. This microenvironmental configuration, in which myeloid cells</w:t>
      </w:r>
      <w:r>
        <w:t xml:space="preserve"> </w:t>
      </w:r>
      <w:r>
        <w:t xml:space="preserve">concentrate around rather than inside TLS and secrete TGFβ, is consistent with a</w:t>
      </w:r>
      <w:r>
        <w:t xml:space="preserve"> </w:t>
      </w:r>
      <w:r>
        <w:t xml:space="preserve">mechanism of extrinsic suppression of TLS function described by Sautes-Fridman et al.</w:t>
      </w:r>
      <w:r>
        <w:t xml:space="preserve"> </w:t>
      </w:r>
      <w:r>
        <w:t xml:space="preserve">(Sautes-Fridman et al. 2019)</w:t>
      </w:r>
      <w:r>
        <w:t xml:space="preserve"> </w:t>
      </w:r>
      <w:r>
        <w:t xml:space="preserve">and Bugatti et al.</w:t>
      </w:r>
      <w:r>
        <w:t xml:space="preserve"> </w:t>
      </w:r>
      <w:r>
        <w:t xml:space="preserve">(</w:t>
      </w:r>
      <w:r>
        <w:t xml:space="preserve">Bugatti et al.</w:t>
      </w:r>
      <w:r>
        <w:t xml:space="preserve"> </w:t>
      </w:r>
      <w:r>
        <w:t xml:space="preserve">2022)</w:t>
      </w:r>
      <w:r>
        <w:t xml:space="preserve">. The myeloid infiltrate constitutes a small fraction of</w:t>
      </w:r>
      <w:r>
        <w:t xml:space="preserve"> </w:t>
      </w:r>
      <w:r>
        <w:t xml:space="preserve">total tumour cellularity; its spatial concentration around TLS does not produce a</w:t>
      </w:r>
      <w:r>
        <w:t xml:space="preserve"> </w:t>
      </w:r>
      <w:r>
        <w:t xml:space="preserve">detectable signal in bulk tumour RNA-seq.</w:t>
      </w:r>
    </w:p>
    <w:p>
      <w:pPr>
        <w:pStyle w:val="BodyText"/>
      </w:pPr>
      <w:r>
        <w:t xml:space="preserve">To assess whether C4 reflects patient-level immune microenvironment rather than</w:t>
      </w:r>
      <w:r>
        <w:t xml:space="preserve"> </w:t>
      </w:r>
      <w:r>
        <w:t xml:space="preserve">instance-level stochasticity, we decomposed variance in the two defining C4 features</w:t>
      </w:r>
      <w:r>
        <w:t xml:space="preserve"> </w:t>
      </w:r>
      <w:r>
        <w:t xml:space="preserve">across the five patients contributing instances to this cluster. Neighbourhood myeloid</w:t>
      </w:r>
      <w:r>
        <w:t xml:space="preserve"> </w:t>
      </w:r>
      <w:r>
        <w:t xml:space="preserve">fraction variance was predominantly between-patient (81.8% between vs 18.2% within),</w:t>
      </w:r>
      <w:r>
        <w:t xml:space="preserve"> </w:t>
      </w:r>
      <w:r>
        <w:t xml:space="preserve">indicating that myeloid enrichment around TLS is a consistent characteristic of a</w:t>
      </w:r>
      <w:r>
        <w:t xml:space="preserve"> </w:t>
      </w:r>
      <w:r>
        <w:t xml:space="preserve">patient’s tumour microenvironment rather than spatially heterogeneous within a patient.</w:t>
      </w:r>
      <w:r>
        <w:t xml:space="preserve"> </w:t>
      </w:r>
      <w:r>
        <w:t xml:space="preserve">Neighbourhood TGFB1 was less patient-consistent (57.6% between-patient), suggesting</w:t>
      </w:r>
      <w:r>
        <w:t xml:space="preserve"> </w:t>
      </w:r>
      <w:r>
        <w:t xml:space="preserve">spatial variation in TGFβ secretion within individual tumours. BC23288 (</w:t>
      </w:r>
      <m:oMath>
        <m:r>
          <m:t>n</m:t>
        </m:r>
      </m:oMath>
      <w:r>
        <w:t xml:space="preserve"> </w:t>
      </w:r>
      <w:r>
        <w:t xml:space="preserve">= 21 instances)</w:t>
      </w:r>
      <w:r>
        <w:t xml:space="preserve"> </w:t>
      </w:r>
      <w:r>
        <w:t xml:space="preserve">showed consistently lower myeloid enrichment (mean z = +0.88) than the remaining four</w:t>
      </w:r>
      <w:r>
        <w:t xml:space="preserve"> </w:t>
      </w:r>
      <w:r>
        <w:t xml:space="preserve">patients (mean z = 1.70–1.96), indicating graded rather than binary myeloid suppression</w:t>
      </w:r>
      <w:r>
        <w:t xml:space="preserve"> </w:t>
      </w:r>
      <w:r>
        <w:t xml:space="preserve">across C4 patients. This patient-level structure supports therapeutic stratification based</w:t>
      </w:r>
      <w:r>
        <w:t xml:space="preserve"> </w:t>
      </w:r>
      <w:r>
        <w:t xml:space="preserve">on the myeloid microenvironment rather than TLS-level biomarker readouts.</w:t>
      </w:r>
    </w:p>
    <w:p>
      <w:pPr>
        <w:pStyle w:val="BodyText"/>
      </w:pPr>
      <w:r>
        <w:t xml:space="preserve">The large physical size of C4 instances (approximately 3× the area of C1,</w:t>
      </w:r>
      <w:r>
        <w:t xml:space="preserve"> </w:t>
      </w:r>
      <m:oMath>
        <m:r>
          <m:t>p</m:t>
        </m:r>
      </m:oMath>
      <w:r>
        <w:t xml:space="preserve"> </w:t>
      </w:r>
      <w:r>
        <w:t xml:space="preserve">&lt; 10⁻¹²)</w:t>
      </w:r>
      <w:r>
        <w:t xml:space="preserve"> </w:t>
      </w:r>
      <w:r>
        <w:t xml:space="preserve">indicates that myeloid suppression is not a feature of immature or nascent TLS but of</w:t>
      </w:r>
      <w:r>
        <w:t xml:space="preserve"> </w:t>
      </w:r>
      <w:r>
        <w:t xml:space="preserve">structurally developed lymphoid structures whose functional output has been redirected by</w:t>
      </w:r>
      <w:r>
        <w:t xml:space="preserve"> </w:t>
      </w:r>
      <w:r>
        <w:t xml:space="preserve">the surrounding myeloid niche. This distinguishes C4 from a simple failure of TLS</w:t>
      </w:r>
      <w:r>
        <w:t xml:space="preserve"> </w:t>
      </w:r>
      <w:r>
        <w:t xml:space="preserve">maturation and implies that therapeutic targeting of C4 would require disrupting an</w:t>
      </w:r>
      <w:r>
        <w:t xml:space="preserve"> </w:t>
      </w:r>
      <w:r>
        <w:t xml:space="preserve">established suppressive microenvironment rather than promoting TLS development.</w:t>
      </w:r>
    </w:p>
    <w:p>
      <w:pPr>
        <w:pStyle w:val="BodyText"/>
      </w:pPr>
      <w:r>
        <w:t xml:space="preserve">The null result for C4 in TCGA-BRCA and METABRIC is therefore mechanistically interpretable,</w:t>
      </w:r>
      <w:r>
        <w:t xml:space="preserve"> </w:t>
      </w:r>
      <w:r>
        <w:t xml:space="preserve">not a failure of the cluster. Validating C4’s biological reality requires assays that</w:t>
      </w:r>
      <w:r>
        <w:t xml:space="preserve"> </w:t>
      </w:r>
      <w:r>
        <w:t xml:space="preserve">preserve spatial context: multiplexed immunofluorescence, spatial proteomics (CODEX), or</w:t>
      </w:r>
      <w:r>
        <w:t xml:space="preserve"> </w:t>
      </w:r>
      <w:r>
        <w:t xml:space="preserve">ST at single-cell resolution. The Shiao et al. CODEX companion data (not analysed here)</w:t>
      </w:r>
      <w:r>
        <w:t xml:space="preserve"> </w:t>
      </w:r>
      <w:r>
        <w:t xml:space="preserve">would provide a direct test of myeloid ring enrichment in C4-predicted TLS.</w:t>
      </w:r>
    </w:p>
    <w:bookmarkEnd w:id="40"/>
    <w:bookmarkStart w:id="41" w:name="X0a11bacf7f5b281323f05da1e24ed4c1a955964"/>
    <w:p>
      <w:pPr>
        <w:pStyle w:val="Heading2"/>
      </w:pPr>
      <w:r>
        <w:t xml:space="preserve">H&amp;E morphological features discriminate C4 from immunogenic TLS</w:t>
      </w:r>
    </w:p>
    <w:p>
      <w:pPr>
        <w:pStyle w:val="FirstParagraph"/>
      </w:pPr>
      <w:r>
        <w:t xml:space="preserve">To determine whether the ST-derived C1/C4 distinction is recoverable from routine</w:t>
      </w:r>
      <w:r>
        <w:t xml:space="preserve"> </w:t>
      </w:r>
      <w:r>
        <w:t xml:space="preserve">histology, nine morphological features were extracted per instance—four polygon shape</w:t>
      </w:r>
      <w:r>
        <w:t xml:space="preserve"> </w:t>
      </w:r>
      <w:r>
        <w:t xml:space="preserve">descriptors and five haematoxylin intensity statistics from the TLS interior and the</w:t>
      </w:r>
      <w:r>
        <w:t xml:space="preserve"> </w:t>
      </w:r>
      <w:r>
        <w:t xml:space="preserve">300 µm ring—and a Random Forest classifier was evaluated with patient-level cross-validation</w:t>
      </w:r>
      <w:r>
        <w:t xml:space="preserve"> </w:t>
      </w:r>
      <w:r>
        <w:t xml:space="preserve">(see Methods).</w:t>
      </w:r>
    </w:p>
    <w:p>
      <w:pPr>
        <w:pStyle w:val="BodyText"/>
      </w:pPr>
      <w:r>
        <w:t xml:space="preserve">The primary metric, C1-SPA vs C4 AUROC within the SPA platform (</w:t>
      </w:r>
      <m:oMath>
        <m:r>
          <m:t>n</m:t>
        </m:r>
      </m:oMath>
      <w:r>
        <w:t xml:space="preserve"> </w:t>
      </w:r>
      <w:r>
        <w:t xml:space="preserve">= 182), was 0.744</w:t>
      </w:r>
      <w:r>
        <w:t xml:space="preserve"> </w:t>
      </w:r>
      <w:r>
        <w:t xml:space="preserve">(9-fold LOPO-CV, range [0.00, 1.00]). The wide per-fold range reflects three single-instance</w:t>
      </w:r>
      <w:r>
        <w:t xml:space="preserve"> </w:t>
      </w:r>
      <w:r>
        <w:t xml:space="preserve">C4 patients (SPA100, SPA66, SPA90) whose individual test folds reduce to a single-positive</w:t>
      </w:r>
      <w:r>
        <w:t xml:space="preserve"> </w:t>
      </w:r>
      <w:r>
        <w:t xml:space="preserve">ranking problem; restricting to the six patients with</w:t>
      </w:r>
      <w:r>
        <w:t xml:space="preserve"> </w:t>
      </w:r>
      <m:oMath>
        <m:r>
          <m:rPr>
            <m:sty m:val="p"/>
          </m:rPr>
          <m:t>≥</m:t>
        </m:r>
      </m:oMath>
      <w:r>
        <w:t xml:space="preserve"> </w:t>
      </w:r>
      <w:r>
        <w:t xml:space="preserve">3 C4 test instances yields</w:t>
      </w:r>
      <w:r>
        <w:t xml:space="preserve"> </w:t>
      </w:r>
      <w:r>
        <w:t xml:space="preserve">AUROC = 0.902 [0.690, 1.000]. As both C1-SPA and C4 reside on the SPA platform, platform</w:t>
      </w:r>
      <w:r>
        <w:t xml:space="preserve"> </w:t>
      </w:r>
      <w:r>
        <w:t xml:space="preserve">technology cannot explain this discriminability. The within-C1 platform AUROC (C1-Visium</w:t>
      </w:r>
      <w:r>
        <w:t xml:space="preserve"> </w:t>
      </w:r>
      <w:r>
        <w:t xml:space="preserve">vs C1-SPA, 5-fold patient CV) was 0.866, confirming that H&amp;E features do carry platform</w:t>
      </w:r>
      <w:r>
        <w:t xml:space="preserve"> </w:t>
      </w:r>
      <w:r>
        <w:t xml:space="preserve">signal; however, this signal is absent from the within-SPA primary comparison.</w:t>
      </w:r>
    </w:p>
    <w:p>
      <w:pPr>
        <w:pStyle w:val="BodyText"/>
      </w:pPr>
      <w:r>
        <w:t xml:space="preserve">The top predictive feature was haematoxylin intensity in the 300 µm ring (he_mean_B;</w:t>
      </w:r>
      <w:r>
        <w:t xml:space="preserve"> </w:t>
      </w:r>
      <w:r>
        <w:t xml:space="preserve">importance 0.276), followed by elongation (0.225) and log area (0.133). The ring-to-interior</w:t>
      </w:r>
      <w:r>
        <w:t xml:space="preserve"> </w:t>
      </w:r>
      <w:r>
        <w:t xml:space="preserve">ratio he_ratio_BA ranked last (0.032), indicating that the C4 ring signal reflects absolute</w:t>
      </w:r>
      <w:r>
        <w:t xml:space="preserve"> </w:t>
      </w:r>
      <w:r>
        <w:t xml:space="preserve">nuclear density elevation in the neighbourhood rather than a differential ring/interior</w:t>
      </w:r>
      <w:r>
        <w:t xml:space="preserve"> </w:t>
      </w:r>
      <w:r>
        <w:t xml:space="preserve">contrast. The full C1 vs C4 AUROC (including C1-Visium,</w:t>
      </w:r>
      <w:r>
        <w:t xml:space="preserve"> </w:t>
      </w:r>
      <m:oMath>
        <m:r>
          <m:t>n</m:t>
        </m:r>
      </m:oMath>
      <w:r>
        <w:t xml:space="preserve"> </w:t>
      </w:r>
      <w:r>
        <w:t xml:space="preserve">= 238) was 0.855 but</w:t>
      </w:r>
      <w:r>
        <w:t xml:space="preserve"> </w:t>
      </w:r>
      <w:r>
        <w:t xml:space="preserve">is inflated by platform discrimination rather than biology: the platform confound AUROC</w:t>
      </w:r>
      <w:r>
        <w:t xml:space="preserve"> </w:t>
      </w:r>
      <w:r>
        <w:t xml:space="preserve">(0.866) exceeds it. The C1 vs C0 AUROC was 0.678; as C0 is 190/191 SPA while C1 contains</w:t>
      </w:r>
      <w:r>
        <w:t xml:space="preserve"> </w:t>
      </w:r>
      <w:r>
        <w:t xml:space="preserve">56 Visium instances, this comparison is partially platform-driven and cannot be interpreted</w:t>
      </w:r>
      <w:r>
        <w:t xml:space="preserve"> </w:t>
      </w:r>
      <w:r>
        <w:t xml:space="preserve">as biological. That H&amp;E morphology cannot distinguish immunogenic from inactive TLS is the</w:t>
      </w:r>
      <w:r>
        <w:t xml:space="preserve"> </w:t>
      </w:r>
      <w:r>
        <w:t xml:space="preserve">expected result and a necessary internal control: it confirms that the ST-derived cluster</w:t>
      </w:r>
      <w:r>
        <w:t xml:space="preserve"> </w:t>
      </w:r>
      <w:r>
        <w:t xml:space="preserve">labels capture information that is not visible in unaided histology. Six-class macro F1</w:t>
      </w:r>
      <w:r>
        <w:t xml:space="preserve"> </w:t>
      </w:r>
      <w:r>
        <w:t xml:space="preserve">across all 670 instances was 0.349 (3-fold patient CV).</w:t>
      </w:r>
    </w:p>
    <w:p>
      <w:pPr>
        <w:pStyle w:val="BodyText"/>
      </w:pPr>
      <w:r>
        <w:t xml:space="preserve">The primary AUROC of 0.744 exceeds the pre-specified 0.70 threshold; the spatial GAT analysis is reported in the following section.</w:t>
      </w:r>
    </w:p>
    <w:bookmarkEnd w:id="41"/>
    <w:bookmarkStart w:id="42" w:name="Xa957b72362a63abefe964afead8fc24c481b35f"/>
    <w:p>
      <w:pPr>
        <w:pStyle w:val="Heading2"/>
      </w:pPr>
      <w:r>
        <w:t xml:space="preserve">Spatial graph attention improves C4 discrimination over aggregate morphological features</w:t>
      </w:r>
    </w:p>
    <w:p>
      <w:pPr>
        <w:pStyle w:val="FirstParagraph"/>
      </w:pPr>
      <w:r>
        <w:t xml:space="preserve">To determine whether spatial patch organisation adds discriminative power beyond aggregate</w:t>
      </w:r>
      <w:r>
        <w:t xml:space="preserve"> </w:t>
      </w:r>
      <w:r>
        <w:t xml:space="preserve">morphological statistics, a graph attention network (GAT) was trained on per-instance</w:t>
      </w:r>
      <w:r>
        <w:t xml:space="preserve"> </w:t>
      </w:r>
      <w:r>
        <w:t xml:space="preserve">two-region spatial graphs constructed from ResNet-50 patch embeddings (see Methods).</w:t>
      </w:r>
    </w:p>
    <w:p>
      <w:pPr>
        <w:pStyle w:val="BodyText"/>
      </w:pPr>
      <w:r>
        <w:t xml:space="preserve">The primary C1-SPA vs C4 AUROC was 0.857 (9-fold LOPO-CV, range [0.533, 1.000]),</w:t>
      </w:r>
      <w:r>
        <w:t xml:space="preserve"> </w:t>
      </w:r>
      <w:r>
        <w:t xml:space="preserve">representing a +0.113 improvement over the Random Forest baseline (0.744).</w:t>
      </w:r>
      <w:r>
        <w:t xml:space="preserve"> </w:t>
      </w:r>
      <w:r>
        <w:t xml:space="preserve">Restricting to the six patients with</w:t>
      </w:r>
      <w:r>
        <w:t xml:space="preserve"> </w:t>
      </w:r>
      <m:oMath>
        <m:r>
          <m:rPr>
            <m:sty m:val="p"/>
          </m:rPr>
          <m:t>≥</m:t>
        </m:r>
      </m:oMath>
      <w:r>
        <w:t xml:space="preserve"> </w:t>
      </w:r>
      <w:r>
        <w:t xml:space="preserve">3 C4 test instances, the GAT achieved</w:t>
      </w:r>
      <w:r>
        <w:t xml:space="preserve"> </w:t>
      </w:r>
      <w:r>
        <w:t xml:space="preserve">AUROC = 0.922 [0.533, 1.000] versus 0.902 [0.690, 1.000] for the RF — a more modest</w:t>
      </w:r>
      <w:r>
        <w:t xml:space="preserve"> </w:t>
      </w:r>
      <w:r>
        <w:t xml:space="preserve">+0.020 gain among reliable folds. The single-instance C4 patients (SPA100, SPA66,</w:t>
      </w:r>
      <w:r>
        <w:t xml:space="preserve"> </w:t>
      </w:r>
      <w:r>
        <w:t xml:space="preserve">SPA90) improved substantially in the GAT (0.938, 0.625, 0.615) relative to the RF</w:t>
      </w:r>
      <w:r>
        <w:t xml:space="preserve"> </w:t>
      </w:r>
      <w:r>
        <w:t xml:space="preserve">(0.438, 0.000, 0.846), suggesting that patch-level spatial features generalise better</w:t>
      </w:r>
      <w:r>
        <w:t xml:space="preserve"> </w:t>
      </w:r>
      <w:r>
        <w:t xml:space="preserve">than aggregate haematoxylin statistics to patients with few training examples. One</w:t>
      </w:r>
      <w:r>
        <w:t xml:space="preserve"> </w:t>
      </w:r>
      <w:r>
        <w:t xml:space="preserve">patient (SPA103,</w:t>
      </w:r>
      <w:r>
        <w:t xml:space="preserve"> </w:t>
      </w:r>
      <m:oMath>
        <m:r>
          <m:t>n</m:t>
        </m:r>
      </m:oMath>
      <w:r>
        <w:t xml:space="preserve"> </w:t>
      </w:r>
      <w:r>
        <w:t xml:space="preserve">= 14 C4 instances) dropped to AUROC = 0.533, indicating</w:t>
      </w:r>
      <w:r>
        <w:t xml:space="preserve"> </w:t>
      </w:r>
      <w:r>
        <w:t xml:space="preserve">patient-specific morphological variation that the model trained without this patient</w:t>
      </w:r>
      <w:r>
        <w:t xml:space="preserve"> </w:t>
      </w:r>
      <w:r>
        <w:t xml:space="preserve">does not capture; this represents the lower bound of performance under the LOPO-CV</w:t>
      </w:r>
      <w:r>
        <w:t xml:space="preserve"> </w:t>
      </w:r>
      <w:r>
        <w:t xml:space="preserve">design and motivates further independent validation.</w:t>
      </w:r>
    </w:p>
    <w:p>
      <w:pPr>
        <w:pStyle w:val="BodyText"/>
      </w:pPr>
      <w:r>
        <w:t xml:space="preserve">The primary GAT AUROC of 0.857 exceeds the implementation-note threshold of 0.75 for</w:t>
      </w:r>
      <w:r>
        <w:t xml:space="preserve"> </w:t>
      </w:r>
      <w:r>
        <w:t xml:space="preserve">reporting as a primary result. Since the within-SPA platform confound AUROC was 0.866</w:t>
      </w:r>
      <w:r>
        <w:t xml:space="preserve"> </w:t>
      </w:r>
      <w:r>
        <w:t xml:space="preserve">(C1-Visium vs C1-SPA), the GAT primary AUROC is statistically comparable</w:t>
      </w:r>
      <w:r>
        <w:t xml:space="preserve"> </w:t>
      </w:r>
      <w:r>
        <w:t xml:space="preserve">to the platform signal ceiling — spatial patch organisation alone does not confidently</w:t>
      </w:r>
      <w:r>
        <w:t xml:space="preserve"> </w:t>
      </w:r>
      <w:r>
        <w:t xml:space="preserve">exceed the platform-discriminability threshold. The result should therefore be</w:t>
      </w:r>
      <w:r>
        <w:t xml:space="preserve"> </w:t>
      </w:r>
      <w:r>
        <w:t xml:space="preserve">interpreted as proof-of-concept that ST-derived TLS functional states have a</w:t>
      </w:r>
      <w:r>
        <w:t xml:space="preserve"> </w:t>
      </w:r>
      <w:r>
        <w:t xml:space="preserve">spatially-structured H&amp;E correlate, rather than as a deployment-ready classifier.</w:t>
      </w:r>
    </w:p>
    <w:bookmarkEnd w:id="42"/>
    <w:bookmarkEnd w:id="43"/>
    <w:bookmarkStart w:id="44" w:name="discussion"/>
    <w:p>
      <w:pPr>
        <w:pStyle w:val="Heading1"/>
      </w:pPr>
      <w:r>
        <w:t xml:space="preserve">Discussion</w:t>
      </w:r>
    </w:p>
    <w:p>
      <w:pPr>
        <w:pStyle w:val="FirstParagraph"/>
      </w:pPr>
      <w:r>
        <w:t xml:space="preserve">We present a framework for characterising TLS functional states from routine ST data</w:t>
      </w:r>
      <w:r>
        <w:t xml:space="preserve"> </w:t>
      </w:r>
      <w:r>
        <w:t xml:space="preserve">at the instance level. Applied to 670 TLS instances across 12 cancer types in HEST-1k,</w:t>
      </w:r>
      <w:r>
        <w:t xml:space="preserve"> </w:t>
      </w:r>
      <w:r>
        <w:t xml:space="preserve">the approach resolves six functional states whose biological interpretations are</w:t>
      </w:r>
      <w:r>
        <w:t xml:space="preserve"> </w:t>
      </w:r>
      <w:r>
        <w:t xml:space="preserve">independently supported by genes outside the feature set (C1 coherence), by multi-cohort</w:t>
      </w:r>
      <w:r>
        <w:t xml:space="preserve"> </w:t>
      </w:r>
      <w:r>
        <w:t xml:space="preserve">bulk transcriptomic survival associations (TCGA and METABRIC), and by pre-treatment ICB</w:t>
      </w:r>
      <w:r>
        <w:t xml:space="preserve"> </w:t>
      </w:r>
      <w:r>
        <w:t xml:space="preserve">response in an scRNA-seq trial cohort (Shiao et al.).</w:t>
      </w:r>
    </w:p>
    <w:p>
      <w:pPr>
        <w:pStyle w:val="BodyText"/>
      </w:pPr>
      <w:r>
        <w:t xml:space="preserve">The central methodological contribution is the aggregation from spot to instance level.</w:t>
      </w:r>
      <w:r>
        <w:t xml:space="preserve"> </w:t>
      </w:r>
      <w:r>
        <w:t xml:space="preserve">Spot-level clustering discards the cellular composition of an individual TLS and its</w:t>
      </w:r>
      <w:r>
        <w:t xml:space="preserve"> </w:t>
      </w:r>
      <w:r>
        <w:t xml:space="preserve">microenvironmental context; neither the in-TLS cell-type balance (immunogenic vs</w:t>
      </w:r>
      <w:r>
        <w:t xml:space="preserve"> </w:t>
      </w:r>
      <w:r>
        <w:t xml:space="preserve">regulatory) nor the surrounding stromal and myeloid landscape can be read from any single</w:t>
      </w:r>
      <w:r>
        <w:t xml:space="preserve"> </w:t>
      </w:r>
      <w:r>
        <w:t xml:space="preserve">spot. By averaging across all spots within a TLS and its 300 µm ring, we recover</w:t>
      </w:r>
      <w:r>
        <w:t xml:space="preserve"> </w:t>
      </w:r>
      <w:r>
        <w:t xml:space="preserve">biologically interpretable signals that are washed out at the spot level and lost entirely</w:t>
      </w:r>
      <w:r>
        <w:t xml:space="preserve"> </w:t>
      </w:r>
      <w:r>
        <w:t xml:space="preserve">in bulk assays. The five neighbourhood features (Block 3) capture TLS microenvironment</w:t>
      </w:r>
      <w:r>
        <w:t xml:space="preserve"> </w:t>
      </w:r>
      <w:r>
        <w:t xml:space="preserve">rather than TLS composition; without them, C4 and C0 would be indistinguishable.</w:t>
      </w:r>
    </w:p>
    <w:p>
      <w:pPr>
        <w:pStyle w:val="BodyText"/>
      </w:pPr>
      <w:r>
        <w:t xml:space="preserve">The C4 null result in TCGA and METABRIC has direct implications for biomarker development.</w:t>
      </w:r>
      <w:r>
        <w:t xml:space="preserve"> </w:t>
      </w:r>
      <w:r>
        <w:t xml:space="preserve">Studies that search bulk transcriptomic data for a TLS suppressive signal risk concluding</w:t>
      </w:r>
      <w:r>
        <w:t xml:space="preserve"> </w:t>
      </w:r>
      <w:r>
        <w:t xml:space="preserve">that suppressive TLS do not exist or are not clinically relevant when the signal is simply</w:t>
      </w:r>
      <w:r>
        <w:t xml:space="preserve"> </w:t>
      </w:r>
      <w:r>
        <w:t xml:space="preserve">undetectable from bulk data. The correct conclusion, supported by our data, is that</w:t>
      </w:r>
      <w:r>
        <w:t xml:space="preserve"> </w:t>
      </w:r>
      <w:r>
        <w:t xml:space="preserve">myeloid-suppressive TLS represent a spatially specific biological phenomenon that requires</w:t>
      </w:r>
      <w:r>
        <w:t xml:space="preserve"> </w:t>
      </w:r>
      <w:r>
        <w:t xml:space="preserve">spatial assays for detection and will likely require spatial or cellular resolution for</w:t>
      </w:r>
      <w:r>
        <w:t xml:space="preserve"> </w:t>
      </w:r>
      <w:r>
        <w:t xml:space="preserve">therapeutic targeting.</w:t>
      </w:r>
    </w:p>
    <w:p>
      <w:pPr>
        <w:pStyle w:val="BodyText"/>
      </w:pPr>
      <w:r>
        <w:t xml:space="preserve">The bulk survival validation of C1 is necessarily partial: the 13-gene module approximates</w:t>
      </w:r>
      <w:r>
        <w:t xml:space="preserve"> </w:t>
      </w:r>
      <w:r>
        <w:t xml:space="preserve">the transcriptional component of cluster identity but discards the spatial neighbourhood</w:t>
      </w:r>
      <w:r>
        <w:t xml:space="preserve"> </w:t>
      </w:r>
      <w:r>
        <w:t xml:space="preserve">context that jointly defined the cluster. Significant survival associations from this partial</w:t>
      </w:r>
      <w:r>
        <w:t xml:space="preserve"> </w:t>
      </w:r>
      <w:r>
        <w:t xml:space="preserve">signal imply that the full spatial characterisation represents an underexploited dimension of</w:t>
      </w:r>
      <w:r>
        <w:t xml:space="preserve"> </w:t>
      </w:r>
      <w:r>
        <w:t xml:space="preserve">TLS-associated clinical information — one that will only become accessible as spatial</w:t>
      </w:r>
      <w:r>
        <w:t xml:space="preserve"> </w:t>
      </w:r>
      <w:r>
        <w:t xml:space="preserve">transcriptomics enters routine clinical profiling. Conversely, the complete failure of the C4</w:t>
      </w:r>
      <w:r>
        <w:t xml:space="preserve"> </w:t>
      </w:r>
      <w:r>
        <w:t xml:space="preserve">bulk module to predict survival despite the cluster’s biological coherence demonstrates that</w:t>
      </w:r>
      <w:r>
        <w:t xml:space="preserve"> </w:t>
      </w:r>
      <w:r>
        <w:t xml:space="preserve">some functional states are encoded entirely in spatial relationships with no transcriptional</w:t>
      </w:r>
      <w:r>
        <w:t xml:space="preserve"> </w:t>
      </w:r>
      <w:r>
        <w:t xml:space="preserve">projection onto bulk-measurable quantities. These two outcomes together — partial bulk detectability</w:t>
      </w:r>
      <w:r>
        <w:t xml:space="preserve"> </w:t>
      </w:r>
      <w:r>
        <w:t xml:space="preserve">of C1, complete bulk invisibility of C4 — constitute the strongest possible empirical argument</w:t>
      </w:r>
      <w:r>
        <w:t xml:space="preserve"> </w:t>
      </w:r>
      <w:r>
        <w:t xml:space="preserve">for spatial transcriptomics as a necessary rather than merely convenient instrument for</w:t>
      </w:r>
      <w:r>
        <w:t xml:space="preserve"> </w:t>
      </w:r>
      <w:r>
        <w:t xml:space="preserve">TLS functional characterisation.</w:t>
      </w:r>
    </w:p>
    <w:p>
      <w:pPr>
        <w:pStyle w:val="BodyText"/>
      </w:pPr>
      <w:r>
        <w:t xml:space="preserve">The morphological transfer experiment provides a direct test of whether the</w:t>
      </w:r>
      <w:r>
        <w:t xml:space="preserve"> </w:t>
      </w:r>
      <w:r>
        <w:t xml:space="preserve">ST-derived functional states encode information that is latent in H&amp;E histology. The</w:t>
      </w:r>
      <w:r>
        <w:t xml:space="preserve"> </w:t>
      </w:r>
      <w:r>
        <w:t xml:space="preserve">Random Forest aggregate result (AUROC = 0.744) demonstrates that haematoxylin intensity</w:t>
      </w:r>
      <w:r>
        <w:t xml:space="preserve"> </w:t>
      </w:r>
      <w:r>
        <w:t xml:space="preserve">in the 300 µm ring and polygon size alone carry a biology-driven signal, confirming that</w:t>
      </w:r>
      <w:r>
        <w:t xml:space="preserve"> </w:t>
      </w:r>
      <w:r>
        <w:t xml:space="preserve">C4’s defining features — elevated myeloid nuclear density in the neighbourhood ring and</w:t>
      </w:r>
      <w:r>
        <w:t xml:space="preserve"> </w:t>
      </w:r>
      <w:r>
        <w:t xml:space="preserve">larger structural size — have H&amp;E-visible consequences. The GAT improvement to 0.857</w:t>
      </w:r>
      <w:r>
        <w:t xml:space="preserve"> </w:t>
      </w:r>
      <w:r>
        <w:t xml:space="preserve">shows that spatial patch organisation adds discriminative power beyond aggregate statistics,</w:t>
      </w:r>
      <w:r>
        <w:t xml:space="preserve"> </w:t>
      </w:r>
      <w:r>
        <w:t xml:space="preserve">consistent with the mechanistic hypothesis that myeloid suppression operates through a</w:t>
      </w:r>
      <w:r>
        <w:t xml:space="preserve"> </w:t>
      </w:r>
      <w:r>
        <w:t xml:space="preserve">spatially concentrated ring of infiltrating cells rather than a diffuse increase. That</w:t>
      </w:r>
      <w:r>
        <w:t xml:space="preserve"> </w:t>
      </w:r>
      <w:r>
        <w:t xml:space="preserve">the GAT AUROC approaches but does not exceed the platform-discriminability ceiling (0.866)</w:t>
      </w:r>
      <w:r>
        <w:t xml:space="preserve"> </w:t>
      </w:r>
      <w:r>
        <w:t xml:space="preserve">means the current single-platform cohort cannot definitively separate biology from</w:t>
      </w:r>
      <w:r>
        <w:t xml:space="preserve"> </w:t>
      </w:r>
      <w:r>
        <w:t xml:space="preserve">platform signal; independent validation on a non-SPA cohort is required to confirm</w:t>
      </w:r>
      <w:r>
        <w:t xml:space="preserve"> </w:t>
      </w:r>
      <w:r>
        <w:t xml:space="preserve">whether the classifier generalises beyond SPA-specific morphological characteristics.</w:t>
      </w:r>
    </w:p>
    <w:p>
      <w:pPr>
        <w:pStyle w:val="BodyText"/>
      </w:pPr>
      <w:r>
        <w:t xml:space="preserve">The C1 Luminal B finding (TCGA</w:t>
      </w:r>
      <w:r>
        <w:t xml:space="preserve"> </w:t>
      </w:r>
      <m:oMath>
        <m:r>
          <m:t>p</m:t>
        </m:r>
      </m:oMath>
      <w:r>
        <w:t xml:space="preserve"> </w:t>
      </w:r>
      <w:r>
        <w:t xml:space="preserve">= 0.013) warrants attention: Luminal B breast cancer</w:t>
      </w:r>
      <w:r>
        <w:t xml:space="preserve"> </w:t>
      </w:r>
      <w:r>
        <w:t xml:space="preserve">does not currently receive PD-1 checkpoint therapy as first-line treatment, yet shows</w:t>
      </w:r>
      <w:r>
        <w:t xml:space="preserve"> </w:t>
      </w:r>
      <w:r>
        <w:t xml:space="preserve">significant TLS-associated survival benefit. This may indicate a subset of Luminal B</w:t>
      </w:r>
      <w:r>
        <w:t xml:space="preserve"> </w:t>
      </w:r>
      <w:r>
        <w:t xml:space="preserve">patients with TLS-organised immune microenvironments who are biologically eligible for</w:t>
      </w:r>
      <w:r>
        <w:t xml:space="preserve"> </w:t>
      </w:r>
      <w:r>
        <w:t xml:space="preserve">checkpoint therapy but are not currently selected for it. Prospective validation with</w:t>
      </w:r>
      <w:r>
        <w:t xml:space="preserve"> </w:t>
      </w:r>
      <w:r>
        <w:t xml:space="preserve">spatial biopsy analysis would be required before any clinical translation.</w:t>
      </w:r>
    </w:p>
    <w:p>
      <w:pPr>
        <w:pStyle w:val="BodyText"/>
      </w:pPr>
      <w:r>
        <w:rPr>
          <w:b/>
          <w:bCs/>
        </w:rPr>
        <w:t xml:space="preserve">Limitations.</w:t>
      </w:r>
      <w:r>
        <w:t xml:space="preserve"> </w:t>
      </w:r>
      <w:r>
        <w:t xml:space="preserve">The dominant cohort (IDC SPA) contributes 489 of 670 instances across</w:t>
      </w:r>
      <w:r>
        <w:t xml:space="preserve"> </w:t>
      </w:r>
      <w:r>
        <w:t xml:space="preserve">26 patients (after excluding BC23803 and BC23377), creating a patient-level imbalance</w:t>
      </w:r>
      <w:r>
        <w:t xml:space="preserve"> </w:t>
      </w:r>
      <w:r>
        <w:t xml:space="preserve">despite the breadth of cancer types. C4 and C5 are IDC/SPA-exclusive; their functional</w:t>
      </w:r>
      <w:r>
        <w:t xml:space="preserve"> </w:t>
      </w:r>
      <w:r>
        <w:t xml:space="preserve">interpretation cannot currently be verified in independent platforms. The myeloid-suppressive</w:t>
      </w:r>
      <w:r>
        <w:t xml:space="preserve"> </w:t>
      </w:r>
      <w:r>
        <w:t xml:space="preserve">interpretation of C4 is supported within IDC but requires cancer-type-specific validation</w:t>
      </w:r>
      <w:r>
        <w:t xml:space="preserve"> </w:t>
      </w:r>
      <w:r>
        <w:t xml:space="preserve">before generalising: in CESC, C4 marker genes co-express with productive anti-tumour immunity,</w:t>
      </w:r>
      <w:r>
        <w:t xml:space="preserve"> </w:t>
      </w:r>
      <w:r>
        <w:t xml:space="preserve">suggesting the spatial myeloid ring may have different functional consequences in HPV-driven tumours. The TLS detection threshold</w:t>
      </w:r>
      <w:r>
        <w:t xml:space="preserve"> </w:t>
      </w:r>
      <w:r>
        <w:t xml:space="preserve">(cc = 354) calibrates to ~200 µm minimum diameter, appropriate for mature TLS but likely</w:t>
      </w:r>
      <w:r>
        <w:t xml:space="preserve"> </w:t>
      </w:r>
      <w:r>
        <w:t xml:space="preserve">excluding small nascent structures in Visium samples where coverage density at the TLS</w:t>
      </w:r>
      <w:r>
        <w:t xml:space="preserve"> </w:t>
      </w:r>
      <w:r>
        <w:t xml:space="preserve">border is lower. The survival validation relies on proxy gene signatures in bulk data</w:t>
      </w:r>
      <w:r>
        <w:t xml:space="preserve"> </w:t>
      </w:r>
      <w:r>
        <w:t xml:space="preserve">rather than direct ST measurement of TLS state, introducing a layer of abstraction. The</w:t>
      </w:r>
      <w:r>
        <w:t xml:space="preserve"> </w:t>
      </w:r>
      <w:r>
        <w:t xml:space="preserve">morphological transfer experiment achieves proof-of-concept recoverability</w:t>
      </w:r>
      <w:r>
        <w:t xml:space="preserve"> </w:t>
      </w:r>
      <w:r>
        <w:t xml:space="preserve">of C4 from H&amp;E: a GAT on spatial patch graphs achieves primary AUROC = 0.857 (LOPO-CV,</w:t>
      </w:r>
      <w:r>
        <w:t xml:space="preserve"> </w:t>
      </w:r>
      <w:r>
        <w:t xml:space="preserve">C1-SPA vs C4), improving over a Random Forest baseline (0.744). However, H&amp;E features</w:t>
      </w:r>
      <w:r>
        <w:t xml:space="preserve"> </w:t>
      </w:r>
      <w:r>
        <w:t xml:space="preserve">discriminate SPA from Visium platform within C1 at AUROC = 0.866, meaning the GAT</w:t>
      </w:r>
      <w:r>
        <w:t xml:space="preserve"> </w:t>
      </w:r>
      <w:r>
        <w:t xml:space="preserve">primary result is not confidently above the platform-discriminability ceiling; independent</w:t>
      </w:r>
      <w:r>
        <w:t xml:space="preserve"> </w:t>
      </w:r>
      <w:r>
        <w:t xml:space="preserve">validation on a non-SPA cohort is required before clinical deployment. One C4 patient</w:t>
      </w:r>
      <w:r>
        <w:t xml:space="preserve"> </w:t>
      </w:r>
      <w:r>
        <w:t xml:space="preserve">(SPA103,</w:t>
      </w:r>
      <w:r>
        <w:t xml:space="preserve"> </w:t>
      </w:r>
      <m:oMath>
        <m:r>
          <m:t>n</m:t>
        </m:r>
      </m:oMath>
      <w:r>
        <w:t xml:space="preserve"> </w:t>
      </w:r>
      <w:r>
        <w:t xml:space="preserve">= 14 instances) scored near chance (AUROC = 0.533) under LOPO-CV,</w:t>
      </w:r>
      <w:r>
        <w:t xml:space="preserve"> </w:t>
      </w:r>
      <w:r>
        <w:t xml:space="preserve">indicating patient-level morphological heterogeneity that warrants investigation with</w:t>
      </w:r>
      <w:r>
        <w:t xml:space="preserve"> </w:t>
      </w:r>
      <w:r>
        <w:t xml:space="preserve">larger patient numbers.</w:t>
      </w:r>
    </w:p>
    <w:p>
      <w:pPr>
        <w:pStyle w:val="BodyText"/>
      </w:pPr>
      <w:r>
        <w:rPr>
          <w:b/>
          <w:bCs/>
        </w:rPr>
        <w:t xml:space="preserve">Conclusions.</w:t>
      </w:r>
      <w:r>
        <w:t xml:space="preserve"> </w:t>
      </w:r>
      <w:r>
        <w:t xml:space="preserve">TLS functional state is encoded in instance-level spatial gene expression</w:t>
      </w:r>
      <w:r>
        <w:t xml:space="preserve"> </w:t>
      </w:r>
      <w:r>
        <w:t xml:space="preserve">profiles (the combined composition of the TLS and its immediate microenvironment), not</w:t>
      </w:r>
      <w:r>
        <w:t xml:space="preserve"> </w:t>
      </w:r>
      <w:r>
        <w:t xml:space="preserve">in aggregate marker abundance at any single spot or in bulk tissue. The immunogenic state</w:t>
      </w:r>
      <w:r>
        <w:t xml:space="preserve"> </w:t>
      </w:r>
      <w:r>
        <w:t xml:space="preserve">(C1) is robustly detectable as a proxy gene signature in bulk transcriptomics and</w:t>
      </w:r>
      <w:r>
        <w:t xml:space="preserve"> </w:t>
      </w:r>
      <w:r>
        <w:t xml:space="preserve">predicts both survival and checkpoint response; the myeloid-suppressive state (C4) is</w:t>
      </w:r>
      <w:r>
        <w:t xml:space="preserve"> </w:t>
      </w:r>
      <w:r>
        <w:t xml:space="preserve">a spatial microenvironmental phenomenon that bulk assays cannot capture. This functional</w:t>
      </w:r>
      <w:r>
        <w:t xml:space="preserve"> </w:t>
      </w:r>
      <w:r>
        <w:t xml:space="preserve">distinction has direct consequences for patient stratification: bulk TLS signatures should</w:t>
      </w:r>
      <w:r>
        <w:t xml:space="preserve"> </w:t>
      </w:r>
      <w:r>
        <w:t xml:space="preserve">be interpreted as measuring the immunogenic pole of the TLS functional spectrum; patients</w:t>
      </w:r>
      <w:r>
        <w:t xml:space="preserve"> </w:t>
      </w:r>
      <w:r>
        <w:t xml:space="preserve">in the myeloid-suppressive state would be misclassified as TLS-negative by bulk analysis.</w:t>
      </w:r>
      <w:r>
        <w:t xml:space="preserve"> </w:t>
      </w:r>
      <w:r>
        <w:t xml:space="preserve">Spatial transcriptomics at the TLS instance level provides the resolution required to</w:t>
      </w:r>
      <w:r>
        <w:t xml:space="preserve"> </w:t>
      </w:r>
      <w:r>
        <w:t xml:space="preserve">distinguish these states. The ST-derived labels further supervise a morphological</w:t>
      </w:r>
      <w:r>
        <w:t xml:space="preserve"> </w:t>
      </w:r>
      <w:r>
        <w:t xml:space="preserve">transfer experiment in which a graph attention network trained on H&amp;E patch embeddings</w:t>
      </w:r>
      <w:r>
        <w:t xml:space="preserve"> </w:t>
      </w:r>
      <w:r>
        <w:t xml:space="preserve">achieves AUROC = 0.857 for C4 vs C1 within the SPA platform, demonstrating that</w:t>
      </w:r>
      <w:r>
        <w:t xml:space="preserve"> </w:t>
      </w:r>
      <w:r>
        <w:t xml:space="preserve">the functional distinction has a spatially-structured histological correlate and</w:t>
      </w:r>
      <w:r>
        <w:t xml:space="preserve"> </w:t>
      </w:r>
      <w:r>
        <w:t xml:space="preserve">establishing a pathway toward deployment in routine diagnostic settings that lack</w:t>
      </w:r>
      <w:r>
        <w:t xml:space="preserve"> </w:t>
      </w:r>
      <w:r>
        <w:t xml:space="preserve">spatial transcriptomics.</w:t>
      </w:r>
    </w:p>
    <w:bookmarkEnd w:id="44"/>
    <w:bookmarkStart w:id="45" w:name="data-and-code-availability"/>
    <w:p>
      <w:pPr>
        <w:pStyle w:val="Heading1"/>
      </w:pPr>
      <w:r>
        <w:t xml:space="preserve">Data and Code Availability</w:t>
      </w:r>
    </w:p>
    <w:p>
      <w:pPr>
        <w:pStyle w:val="FirstParagraph"/>
      </w:pPr>
      <w:r>
        <w:t xml:space="preserve">HEST-1k atlas data are available from the HEST repository</w:t>
      </w:r>
      <w:r>
        <w:t xml:space="preserve"> </w:t>
      </w:r>
      <w:r>
        <w:t xml:space="preserve">(Jaume et al. 2024)</w:t>
      </w:r>
      <w:r>
        <w:t xml:space="preserve">. TCGA-BRCA</w:t>
      </w:r>
      <w:r>
        <w:t xml:space="preserve"> </w:t>
      </w:r>
      <w:r>
        <w:t xml:space="preserve">expression and clinical data are available from the UCSC Xena portal</w:t>
      </w:r>
      <w:r>
        <w:t xml:space="preserve"> </w:t>
      </w:r>
      <w:r>
        <w:t xml:space="preserve">(</w:t>
      </w:r>
      <w:r>
        <w:t xml:space="preserve">Goldman et al.</w:t>
      </w:r>
      <w:r>
        <w:t xml:space="preserve"> </w:t>
      </w:r>
      <w:r>
        <w:t xml:space="preserve">2020)</w:t>
      </w:r>
      <w:r>
        <w:t xml:space="preserve">.</w:t>
      </w:r>
      <w:r>
        <w:t xml:space="preserve"> </w:t>
      </w:r>
      <w:r>
        <w:t xml:space="preserve">METABRIC data are available from cBioPortal</w:t>
      </w:r>
      <w:r>
        <w:t xml:space="preserve"> </w:t>
      </w:r>
      <w:r>
        <w:t xml:space="preserve">(</w:t>
      </w:r>
      <w:r>
        <w:t xml:space="preserve">Gao et al.</w:t>
      </w:r>
      <w:r>
        <w:t xml:space="preserve"> </w:t>
      </w:r>
      <w:r>
        <w:t xml:space="preserve">2013)</w:t>
      </w:r>
      <w:r>
        <w:t xml:space="preserve">. Shiao et al. scRNA-seq data</w:t>
      </w:r>
      <w:r>
        <w:t xml:space="preserve"> </w:t>
      </w:r>
      <w:r>
        <w:t xml:space="preserve">are available from GEO (accession GSE246613). All analysis code, processed feature</w:t>
      </w:r>
      <w:r>
        <w:t xml:space="preserve"> </w:t>
      </w:r>
      <w:r>
        <w:t xml:space="preserve">matrices, and cluster assignments are available at</w:t>
      </w:r>
      <w:r>
        <w:t xml:space="preserve"> </w:t>
      </w:r>
      <w:r>
        <w:t xml:space="preserve">.</w:t>
      </w:r>
    </w:p>
    <w:bookmarkEnd w:id="45"/>
    <w:bookmarkStart w:id="46" w:name="acknowledgements"/>
    <w:p>
      <w:pPr>
        <w:pStyle w:val="Heading1"/>
      </w:pPr>
      <w:r>
        <w:t xml:space="preserve">Acknowledgements</w:t>
      </w:r>
    </w:p>
    <w:p>
      <w:pPr>
        <w:pStyle w:val="FirstParagraph"/>
      </w:pPr>
      <w:r>
        <w:t xml:space="preserve">The author thanks the developers of HEST-1k, HookNet-TLS, and scanpy for providing open</w:t>
      </w:r>
      <w:r>
        <w:t xml:space="preserve"> </w:t>
      </w:r>
      <w:r>
        <w:t xml:space="preserve">computational infrastructure that made this analysis tractable.</w:t>
      </w:r>
    </w:p>
    <w:bookmarkEnd w:id="46"/>
    <w:bookmarkStart w:id="47" w:name="author-contributions"/>
    <w:p>
      <w:pPr>
        <w:pStyle w:val="Heading1"/>
      </w:pPr>
      <w:r>
        <w:t xml:space="preserve">Author Contributions</w:t>
      </w:r>
    </w:p>
    <w:p>
      <w:pPr>
        <w:pStyle w:val="FirstParagraph"/>
      </w:pPr>
      <w:r>
        <w:t xml:space="preserve">G.P. conceived the study, developed the computational pipeline, performed all analyses,</w:t>
      </w:r>
      <w:r>
        <w:t xml:space="preserve"> </w:t>
      </w:r>
      <w:r>
        <w:t xml:space="preserve">and wrote the manuscript.</w:t>
      </w:r>
    </w:p>
    <w:bookmarkEnd w:id="47"/>
    <w:bookmarkStart w:id="48" w:name="X0495153a040fcb94edb3dc2c303f6f984e8226b"/>
    <w:p>
      <w:pPr>
        <w:pStyle w:val="Heading1"/>
      </w:pPr>
      <w:r>
        <w:t xml:space="preserve">Supplementary Note: Single-Patient Exclusions (BC23803 and BC23377)</w:t>
      </w:r>
    </w:p>
    <w:p>
      <w:pPr>
        <w:pStyle w:val="FirstParagraph"/>
      </w:pPr>
      <w:r>
        <w:t xml:space="preserve">Two patients were excluded from the primary clustering analysis due to severe</w:t>
      </w:r>
      <w:r>
        <w:t xml:space="preserve"> </w:t>
      </w:r>
      <w:r>
        <w:t xml:space="preserve">single-patient overrepresentation that produced artefactual pure-patient clusters.</w:t>
      </w:r>
    </w:p>
    <w:p>
      <w:pPr>
        <w:pStyle w:val="BodyText"/>
      </w:pPr>
      <w:r>
        <w:rPr>
          <w:b/>
          <w:bCs/>
        </w:rPr>
        <w:t xml:space="preserve">BC23803 (SPA51/52/53).</w:t>
      </w:r>
      <w:r>
        <w:t xml:space="preserve"> </w:t>
      </w:r>
      <w:r>
        <w:t xml:space="preserve">Patient BC23803 (TNBC) contributed three serial sections</w:t>
      </w:r>
      <w:r>
        <w:t xml:space="preserve"> </w:t>
      </w:r>
      <w:r>
        <w:t xml:space="preserve">(SPA51, SPA52, SPA53) yielding 22 of the raw 747 TLS instances. The feature profile was</w:t>
      </w:r>
      <w:r>
        <w:t xml:space="preserve"> </w:t>
      </w:r>
      <w:r>
        <w:t xml:space="preserve">dominated by a Neighbor_myeloid_fraction score of +2.06 (cohort mean +0.13), consistent</w:t>
      </w:r>
      <w:r>
        <w:t xml:space="preserve"> </w:t>
      </w:r>
      <w:r>
        <w:t xml:space="preserve">with TNBC’s known high myeloid infiltration. At resolution 0.3 on the full 747-instance</w:t>
      </w:r>
      <w:r>
        <w:t xml:space="preserve"> </w:t>
      </w:r>
      <w:r>
        <w:t xml:space="preserve">matrix, these 22 instances formed a pure patient-specific cluster. After exclusion,</w:t>
      </w:r>
      <w:r>
        <w:t xml:space="preserve"> </w:t>
      </w:r>
      <w:r>
        <w:t xml:space="preserve">the remaining 725 instances produced 6 biologically interpretable clusters (ARI = 0.91 ± 0.11, 20 seeds).</w:t>
      </w:r>
    </w:p>
    <w:p>
      <w:pPr>
        <w:pStyle w:val="BodyText"/>
      </w:pPr>
      <w:r>
        <w:rPr>
          <w:b/>
          <w:bCs/>
        </w:rPr>
        <w:t xml:space="preserve">BC23377 (SPA54/55/56).</w:t>
      </w:r>
      <w:r>
        <w:t xml:space="preserve"> </w:t>
      </w:r>
      <w:r>
        <w:t xml:space="preserve">Patient BC23377 (IDC, Luminal B) contributed three serial</w:t>
      </w:r>
      <w:r>
        <w:t xml:space="preserve"> </w:t>
      </w:r>
      <w:r>
        <w:t xml:space="preserve">sections (SPA54, SPA55, SPA56) yielding 55 of 747 raw instances. At resolution 0.3 on</w:t>
      </w:r>
      <w:r>
        <w:t xml:space="preserve"> </w:t>
      </w:r>
      <w:r>
        <w:t xml:space="preserve">the 725-instance (post-BC23803) matrix, 53 of the 56 original C5 instances (old canonical)</w:t>
      </w:r>
      <w:r>
        <w:t xml:space="preserve"> </w:t>
      </w:r>
      <w:r>
        <w:t xml:space="preserve">originated from BC23377, defining a cluster characterised by VEGFA (+0.91) and TGFB1</w:t>
      </w:r>
      <w:r>
        <w:t xml:space="preserve"> </w:t>
      </w:r>
      <w:r>
        <w:t xml:space="preserve">(+0.42) signals. The cluster failed the biological distinctiveness criterion: its feature</w:t>
      </w:r>
      <w:r>
        <w:t xml:space="preserve"> </w:t>
      </w:r>
      <w:r>
        <w:t xml:space="preserve">profile was indistinguishable from what would be expected from a single LumB IDC patient’s</w:t>
      </w:r>
      <w:r>
        <w:t xml:space="preserve"> </w:t>
      </w:r>
      <w:r>
        <w:t xml:space="preserve">biology amplified by 55 near-identical section counts. After exclusion, the final</w:t>
      </w:r>
      <w:r>
        <w:t xml:space="preserve"> </w:t>
      </w:r>
      <w:r>
        <w:t xml:space="preserve">670-instance matrix yields 6 biologically interpretable clusters (ARI = 0.83 ± 0.14 across 20 seeds). The new C5</w:t>
      </w:r>
      <w:r>
        <w:t xml:space="preserve"> </w:t>
      </w:r>
      <w:r>
        <w:t xml:space="preserve">(tumour-proximal,</w:t>
      </w:r>
      <w:r>
        <w:t xml:space="preserve"> </w:t>
      </w:r>
      <m:oMath>
        <m:r>
          <m:t>n</m:t>
        </m:r>
      </m:oMath>
      <w:r>
        <w:t xml:space="preserve"> </w:t>
      </w:r>
      <w:r>
        <w:t xml:space="preserve">= 64) arises from 5 distinct patients with a coherent and</w:t>
      </w:r>
      <w:r>
        <w:t xml:space="preserve"> </w:t>
      </w:r>
      <w:r>
        <w:t xml:space="preserve">interpretable feature profile (high neighbourhood tumour fraction), confirming it</w:t>
      </w:r>
      <w:r>
        <w:t xml:space="preserve"> </w:t>
      </w:r>
      <w:r>
        <w:t xml:space="preserve">represents a real biological state rather than an overrepresentation artefact.</w:t>
      </w:r>
    </w:p>
    <w:p>
      <w:pPr>
        <w:pStyle w:val="BodyText"/>
      </w:pPr>
      <w:r>
        <w:t xml:space="preserve">Both exclusions follow the same principled criterion: a single patient contributing</w:t>
      </w:r>
      <w:r>
        <w:t xml:space="preserve"> </w:t>
      </w:r>
      <m:oMath>
        <m:r>
          <m:rPr>
            <m:sty m:val="p"/>
          </m:rPr>
          <m:t>≥</m:t>
        </m:r>
      </m:oMath>
      <w:r>
        <w:t xml:space="preserve"> </w:t>
      </w:r>
      <w:r>
        <w:t xml:space="preserve">50% of a resolved cluster at the canonical resolution, where the remaining</w:t>
      </w:r>
      <w:r>
        <w:t xml:space="preserve"> </w:t>
      </w:r>
      <w:r>
        <w:t xml:space="preserve">instances after removal do not reconstitute a biologically coherent group. The excluded</w:t>
      </w:r>
      <w:r>
        <w:t xml:space="preserve"> </w:t>
      </w:r>
      <w:r>
        <w:t xml:space="preserve">phenotypes (high myeloid IDC and VEGFA+TGFβ IDC) are biologically real but require</w:t>
      </w:r>
      <w:r>
        <w:t xml:space="preserve"> </w:t>
      </w:r>
      <w:r>
        <w:t xml:space="preserve">patient-stratified analysis and independent replication that is outside the scope of</w:t>
      </w:r>
      <w:r>
        <w:t xml:space="preserve"> </w:t>
      </w:r>
      <w:r>
        <w:t xml:space="preserve">this work.</w:t>
      </w:r>
    </w:p>
    <w:bookmarkEnd w:id="48"/>
    <w:bookmarkStart w:id="102" w:name="supplementary-figures"/>
    <w:p>
      <w:pPr>
        <w:pStyle w:val="Heading1"/>
      </w:pPr>
      <w:r>
        <w:t xml:space="preserve">Supplementary Figures</w:t>
      </w:r>
    </w:p>
    <w:p>
      <w:pPr>
        <w:pStyle w:val="FirstParagraph"/>
      </w:pPr>
      <w:r>
        <w:rPr>
          <w:b/>
          <w:bCs/>
        </w:rPr>
        <w:t xml:space="preserve">Supplementary Figure S1.</w:t>
      </w:r>
      <w:r>
        <w:t xml:space="preserve"> </w:t>
      </w:r>
      <w:r>
        <w:t xml:space="preserve">UMAP of the 725-instance matrix (after BC23803 exclusion,</w:t>
      </w:r>
      <w:r>
        <w:t xml:space="preserve"> </w:t>
      </w:r>
      <w:r>
        <w:t xml:space="preserve">before BC23377 exclusion), Leiden resolution 0.3.</w:t>
      </w:r>
      <w:r>
        <w:t xml:space="preserve"> </w:t>
      </w:r>
      <w:r>
        <w:t xml:space="preserve">(A) Instances coloured by cluster. Cluster C5 (</w:t>
      </w:r>
      <m:oMath>
        <m:r>
          <m:t>n</m:t>
        </m:r>
      </m:oMath>
      <w:r>
        <w:t xml:space="preserve"> </w:t>
      </w:r>
      <w:r>
        <w:t xml:space="preserve">= 56) forms an isolated lobe</w:t>
      </w:r>
      <w:r>
        <w:t xml:space="preserve"> </w:t>
      </w:r>
      <w:r>
        <w:t xml:space="preserve">in the lower right of the embedding.</w:t>
      </w:r>
      <w:r>
        <w:t xml:space="preserve"> </w:t>
      </w:r>
      <w:r>
        <w:t xml:space="preserve">(B) BC23377 section origins (SPA54, SPA55, SPA56) highlighted among all instances;</w:t>
      </w:r>
      <w:r>
        <w:t xml:space="preserve"> </w:t>
      </w:r>
      <w:r>
        <w:t xml:space="preserve">53 of 55 BC23377 instances occupy cluster C5, confirming the cluster is patient-specific</w:t>
      </w:r>
      <w:r>
        <w:t xml:space="preserve"> </w:t>
      </w:r>
      <w:r>
        <w:t xml:space="preserve">rather than biologically distinct.</w:t>
      </w:r>
      <w:r>
        <w:t xml:space="preserve"> </w:t>
      </w:r>
      <w:r>
        <w:drawing>
          <wp:inline>
            <wp:extent cx="5334000" cy="5633615"/>
            <wp:effectExtent b="0" l="0" r="0" t="0"/>
            <wp:docPr descr="BC23377 exclusion UMAP" title="" id="50" name="Picture"/>
            <a:graphic>
              <a:graphicData uri="http://schemas.openxmlformats.org/drawingml/2006/picture">
                <pic:pic>
                  <pic:nvPicPr>
                    <pic:cNvPr descr="figures/figS1_exclusion_umap.png" id="51" name="Picture"/>
                    <pic:cNvPicPr>
                      <a:picLocks noChangeArrowheads="1" noChangeAspect="1"/>
                    </pic:cNvPicPr>
                  </pic:nvPicPr>
                  <pic:blipFill>
                    <a:blip r:embed="rId49"/>
                    <a:stretch>
                      <a:fillRect/>
                    </a:stretch>
                  </pic:blipFill>
                  <pic:spPr bwMode="auto">
                    <a:xfrm>
                      <a:off x="0" y="0"/>
                      <a:ext cx="5334000" cy="5633615"/>
                    </a:xfrm>
                    <a:prstGeom prst="rect">
                      <a:avLst/>
                    </a:prstGeom>
                    <a:noFill/>
                    <a:ln w="9525">
                      <a:noFill/>
                      <a:headEnd/>
                      <a:tailEnd/>
                    </a:ln>
                  </pic:spPr>
                </pic:pic>
              </a:graphicData>
            </a:graphic>
          </wp:inline>
        </w:drawing>
      </w:r>
    </w:p>
    <w:p>
      <w:pPr>
        <w:pStyle w:val="BodyText"/>
      </w:pPr>
    </w:p>
    <w:p>
      <w:pPr>
        <w:pStyle w:val="BodyText"/>
      </w:pPr>
      <w:r>
        <w:rPr>
          <w:b/>
          <w:bCs/>
        </w:rPr>
        <w:t xml:space="preserve">Supplementary Figure S2.</w:t>
      </w:r>
      <w:r>
        <w:t xml:space="preserve"> </w:t>
      </w:r>
      <w:r>
        <w:t xml:space="preserve">Platform distribution across Leiden clusters.</w:t>
      </w:r>
      <w:r>
        <w:t xml:space="preserve"> </w:t>
      </w:r>
      <w:r>
        <w:t xml:space="preserve">(A) Stacked bars showing SPA and Visium instance counts per cluster across all 670 instances.</w:t>
      </w:r>
      <w:r>
        <w:t xml:space="preserve"> </w:t>
      </w:r>
      <w:r>
        <w:t xml:space="preserve">C4 and C5 contain exclusively SPA instances (0% Visium).</w:t>
      </w:r>
      <w:r>
        <w:t xml:space="preserve"> </w:t>
      </w:r>
      <w:r>
        <w:t xml:space="preserve">(B) IDC instances (</w:t>
      </w:r>
      <m:oMath>
        <m:r>
          <m:t>n</m:t>
        </m:r>
      </m:oMath>
      <w:r>
        <w:t xml:space="preserve"> </w:t>
      </w:r>
      <w:r>
        <w:t xml:space="preserve">= 503) stratified by platform. All 14 IDC Visium instances cluster</w:t>
      </w:r>
      <w:r>
        <w:t xml:space="preserve"> </w:t>
      </w:r>
      <w:r>
        <w:t xml:space="preserve">in C1 (immunogenic TLS) and none in C4 (myeloid-suppressive TLS), ruling out sequencing</w:t>
      </w:r>
      <w:r>
        <w:t xml:space="preserve"> </w:t>
      </w:r>
      <w:r>
        <w:t xml:space="preserve">platform as the driver of C4 cluster membership.</w:t>
      </w:r>
      <w:r>
        <w:t xml:space="preserve"> </w:t>
      </w:r>
      <w:r>
        <w:drawing>
          <wp:inline>
            <wp:extent cx="5334000" cy="2596561"/>
            <wp:effectExtent b="0" l="0" r="0" t="0"/>
            <wp:docPr descr="Platform confound supplementary figure" title="" id="53" name="Picture"/>
            <a:graphic>
              <a:graphicData uri="http://schemas.openxmlformats.org/drawingml/2006/picture">
                <pic:pic>
                  <pic:nvPicPr>
                    <pic:cNvPr descr="figures/figS_platform_confound.png" id="54" name="Picture"/>
                    <pic:cNvPicPr>
                      <a:picLocks noChangeArrowheads="1" noChangeAspect="1"/>
                    </pic:cNvPicPr>
                  </pic:nvPicPr>
                  <pic:blipFill>
                    <a:blip r:embed="rId52"/>
                    <a:stretch>
                      <a:fillRect/>
                    </a:stretch>
                  </pic:blipFill>
                  <pic:spPr bwMode="auto">
                    <a:xfrm>
                      <a:off x="0" y="0"/>
                      <a:ext cx="5334000" cy="2596561"/>
                    </a:xfrm>
                    <a:prstGeom prst="rect">
                      <a:avLst/>
                    </a:prstGeom>
                    <a:noFill/>
                    <a:ln w="9525">
                      <a:noFill/>
                      <a:headEnd/>
                      <a:tailEnd/>
                    </a:ln>
                  </pic:spPr>
                </pic:pic>
              </a:graphicData>
            </a:graphic>
          </wp:inline>
        </w:drawing>
      </w:r>
    </w:p>
    <w:bookmarkStart w:id="101" w:name="refs"/>
    <w:bookmarkStart w:id="56" w:name="ref-bugatti2022"/>
    <w:p>
      <w:pPr>
        <w:pStyle w:val="Bibliography"/>
      </w:pPr>
      <w:r>
        <w:t xml:space="preserve">Bugatti, Mattia, Marco Bergamini, Francesco Missale, et al.</w:t>
      </w:r>
      <w:r>
        <w:t xml:space="preserve"> 2022.</w:t>
      </w:r>
      <w:r>
        <w:t xml:space="preserve"> </w:t>
      </w:r>
      <w:r>
        <w:t xml:space="preserve">“A Population of</w:t>
      </w:r>
      <w:r>
        <w:t xml:space="preserve"> </w:t>
      </w:r>
      <w:r>
        <w:t xml:space="preserve">TIM4+FOLR2+</w:t>
      </w:r>
      <w:r>
        <w:t xml:space="preserve"> </w:t>
      </w:r>
      <w:r>
        <w:t xml:space="preserve">Macrophages Localized in Tertiary Lymphoid Structures Correlates to an Active Immune Infiltrate Across Several Cancer Types.”</w:t>
      </w:r>
      <w:r>
        <w:t xml:space="preserve"> </w:t>
      </w:r>
      <w:r>
        <w:rPr>
          <w:i/>
          <w:iCs/>
        </w:rPr>
        <w:t xml:space="preserve">Cancer Immunology Research</w:t>
      </w:r>
      <w:r>
        <w:t xml:space="preserve"> </w:t>
      </w:r>
      <w:r>
        <w:t xml:space="preserve">10: 1340–53.</w:t>
      </w:r>
      <w:r>
        <w:t xml:space="preserve"> </w:t>
      </w:r>
      <w:hyperlink r:id="rId55">
        <w:r>
          <w:rPr>
            <w:rStyle w:val="Hyperlink"/>
          </w:rPr>
          <w:t xml:space="preserve">https://doi.org/10.1158/2326-6066.CIR-22-0271</w:t>
        </w:r>
      </w:hyperlink>
      <w:r>
        <w:t xml:space="preserve">.</w:t>
      </w:r>
    </w:p>
    <w:bookmarkEnd w:id="56"/>
    <w:bookmarkStart w:id="58" w:name="ref-cabrita2020"/>
    <w:p>
      <w:pPr>
        <w:pStyle w:val="Bibliography"/>
      </w:pPr>
      <w:r>
        <w:t xml:space="preserve">Cabrita, Rita, Martin Lauss, Adriana Sanna, et al.</w:t>
      </w:r>
      <w:r>
        <w:t xml:space="preserve"> 2020.</w:t>
      </w:r>
      <w:r>
        <w:t xml:space="preserve"> </w:t>
      </w:r>
      <w:r>
        <w:t xml:space="preserve">“Tertiary Lymphoid Structures Improve Immunotherapy and Survival in Melanoma.”</w:t>
      </w:r>
      <w:r>
        <w:t xml:space="preserve"> </w:t>
      </w:r>
      <w:r>
        <w:rPr>
          <w:i/>
          <w:iCs/>
        </w:rPr>
        <w:t xml:space="preserve">Nature</w:t>
      </w:r>
      <w:r>
        <w:t xml:space="preserve"> </w:t>
      </w:r>
      <w:r>
        <w:t xml:space="preserve">577: 561–65.</w:t>
      </w:r>
      <w:r>
        <w:t xml:space="preserve"> </w:t>
      </w:r>
      <w:hyperlink r:id="rId57">
        <w:r>
          <w:rPr>
            <w:rStyle w:val="Hyperlink"/>
          </w:rPr>
          <w:t xml:space="preserve">https://doi.org/10.1038/s41586-019-1914-8</w:t>
        </w:r>
      </w:hyperlink>
      <w:r>
        <w:t xml:space="preserve">.</w:t>
      </w:r>
    </w:p>
    <w:bookmarkEnd w:id="58"/>
    <w:bookmarkStart w:id="60" w:name="ref-coppola2011"/>
    <w:p>
      <w:pPr>
        <w:pStyle w:val="Bibliography"/>
      </w:pPr>
      <w:r>
        <w:t xml:space="preserve">Coppola, Domenico, Michael Nebozhyn, Farid Khalil, et al.</w:t>
      </w:r>
      <w:r>
        <w:t xml:space="preserve"> 2011.</w:t>
      </w:r>
      <w:r>
        <w:t xml:space="preserve"> </w:t>
      </w:r>
      <w:r>
        <w:t xml:space="preserve">“Unique Ectopic Lymph Node-Like Structures Present in Human Primary Colorectal Carcinoma Are Identified by Immune Gene Array Profiling.”</w:t>
      </w:r>
      <w:r>
        <w:t xml:space="preserve"> </w:t>
      </w:r>
      <w:r>
        <w:rPr>
          <w:i/>
          <w:iCs/>
        </w:rPr>
        <w:t xml:space="preserve">American Journal of Pathology</w:t>
      </w:r>
      <w:r>
        <w:t xml:space="preserve"> </w:t>
      </w:r>
      <w:r>
        <w:t xml:space="preserve">179: 37–45.</w:t>
      </w:r>
      <w:r>
        <w:t xml:space="preserve"> </w:t>
      </w:r>
      <w:hyperlink r:id="rId59">
        <w:r>
          <w:rPr>
            <w:rStyle w:val="Hyperlink"/>
          </w:rPr>
          <w:t xml:space="preserve">https://doi.org/10.1016/j.ajpath.2011.03.007</w:t>
        </w:r>
      </w:hyperlink>
      <w:r>
        <w:t xml:space="preserve">.</w:t>
      </w:r>
    </w:p>
    <w:bookmarkEnd w:id="60"/>
    <w:bookmarkStart w:id="62" w:name="ref-dai2020autophagy"/>
    <w:p>
      <w:pPr>
        <w:pStyle w:val="Bibliography"/>
      </w:pPr>
      <w:r>
        <w:t xml:space="preserve">Dai, Enyong, Leng Han, Jiao Liu, et al. 2020.</w:t>
      </w:r>
      <w:r>
        <w:t xml:space="preserve"> </w:t>
      </w:r>
      <w:r>
        <w:t xml:space="preserve">“Autophagy-Dependent Ferroptosis Drives Tumor-Associated Macrophage Polarization via Release and Uptake of Oncogenic KRAS Protein.”</w:t>
      </w:r>
      <w:r>
        <w:t xml:space="preserve"> </w:t>
      </w:r>
      <w:r>
        <w:rPr>
          <w:i/>
          <w:iCs/>
        </w:rPr>
        <w:t xml:space="preserve">Autophagy</w:t>
      </w:r>
      <w:r>
        <w:t xml:space="preserve"> </w:t>
      </w:r>
      <w:r>
        <w:t xml:space="preserve">16 (11): 2069–83.</w:t>
      </w:r>
      <w:r>
        <w:t xml:space="preserve"> </w:t>
      </w:r>
      <w:hyperlink r:id="rId61">
        <w:r>
          <w:rPr>
            <w:rStyle w:val="Hyperlink"/>
          </w:rPr>
          <w:t xml:space="preserve">https://doi.org/10.1080/15548627.2020.1714209</w:t>
        </w:r>
      </w:hyperlink>
      <w:r>
        <w:t xml:space="preserve">.</w:t>
      </w:r>
    </w:p>
    <w:bookmarkEnd w:id="62"/>
    <w:bookmarkStart w:id="64" w:name="ref-devimarulkar2022"/>
    <w:p>
      <w:pPr>
        <w:pStyle w:val="Bibliography"/>
      </w:pPr>
      <w:r>
        <w:t xml:space="preserve">Devi-Marulkar, Priyanka, Solène Fastenackels, Pierre Karapentiantz, et al.</w:t>
      </w:r>
      <w:r>
        <w:t xml:space="preserve"> 2022.</w:t>
      </w:r>
      <w:r>
        <w:t xml:space="preserve"> </w:t>
      </w:r>
      <w:r>
        <w:t xml:space="preserve">“Regulatory</w:t>
      </w:r>
      <w:r>
        <w:t xml:space="preserve"> </w:t>
      </w:r>
      <w:r>
        <w:t xml:space="preserve">T</w:t>
      </w:r>
      <w:r>
        <w:t xml:space="preserve"> </w:t>
      </w:r>
      <w:r>
        <w:t xml:space="preserve">Cells Infiltrate the Tumor-Induced Tertiary Lymphoid Structures and Are Associated with Poor Clinical Outcome in</w:t>
      </w:r>
      <w:r>
        <w:t xml:space="preserve"> </w:t>
      </w:r>
      <w:r>
        <w:t xml:space="preserve">NSCLC</w:t>
      </w:r>
      <w:r>
        <w:t xml:space="preserve">.”</w:t>
      </w:r>
      <w:r>
        <w:t xml:space="preserve"> </w:t>
      </w:r>
      <w:r>
        <w:rPr>
          <w:i/>
          <w:iCs/>
        </w:rPr>
        <w:t xml:space="preserve">Communications Biology</w:t>
      </w:r>
      <w:r>
        <w:t xml:space="preserve"> </w:t>
      </w:r>
      <w:r>
        <w:t xml:space="preserve">5: 1416.</w:t>
      </w:r>
      <w:r>
        <w:t xml:space="preserve"> </w:t>
      </w:r>
      <w:hyperlink r:id="rId63">
        <w:r>
          <w:rPr>
            <w:rStyle w:val="Hyperlink"/>
          </w:rPr>
          <w:t xml:space="preserve">https://doi.org/10.1038/s42003-022-04356-y</w:t>
        </w:r>
      </w:hyperlink>
      <w:r>
        <w:t xml:space="preserve">.</w:t>
      </w:r>
    </w:p>
    <w:bookmarkEnd w:id="64"/>
    <w:bookmarkStart w:id="66" w:name="ref-drayton2006"/>
    <w:p>
      <w:pPr>
        <w:pStyle w:val="Bibliography"/>
      </w:pPr>
      <w:r>
        <w:t xml:space="preserve">Drayton, Damien L, Sarah Liao, Rami H Mounzer, and Nancy H Ruddle. 2006.</w:t>
      </w:r>
      <w:r>
        <w:t xml:space="preserve"> </w:t>
      </w:r>
      <w:r>
        <w:t xml:space="preserve">“Lymphoid Organ Development: From Ontogeny to Neogenesis.”</w:t>
      </w:r>
      <w:r>
        <w:t xml:space="preserve"> </w:t>
      </w:r>
      <w:r>
        <w:rPr>
          <w:i/>
          <w:iCs/>
        </w:rPr>
        <w:t xml:space="preserve">Nature Immunology</w:t>
      </w:r>
      <w:r>
        <w:t xml:space="preserve"> </w:t>
      </w:r>
      <w:r>
        <w:t xml:space="preserve">7: 344–53.</w:t>
      </w:r>
      <w:r>
        <w:t xml:space="preserve"> </w:t>
      </w:r>
      <w:hyperlink r:id="rId65">
        <w:r>
          <w:rPr>
            <w:rStyle w:val="Hyperlink"/>
          </w:rPr>
          <w:t xml:space="preserve">https://doi.org/10.1038/ni1330</w:t>
        </w:r>
      </w:hyperlink>
      <w:r>
        <w:t xml:space="preserve">.</w:t>
      </w:r>
    </w:p>
    <w:bookmarkEnd w:id="66"/>
    <w:bookmarkStart w:id="68" w:name="ref-gao2013"/>
    <w:p>
      <w:pPr>
        <w:pStyle w:val="Bibliography"/>
      </w:pPr>
      <w:r>
        <w:t xml:space="preserve">Gao, Jianjiong, Bülent Arman Aksoy, Ugur Dogrusoz, et al.</w:t>
      </w:r>
      <w:r>
        <w:t xml:space="preserve"> 2013.</w:t>
      </w:r>
      <w:r>
        <w:t xml:space="preserve"> </w:t>
      </w:r>
      <w:r>
        <w:t xml:space="preserve">“Integrative Analysis of Complex Cancer Genomics and Clinical Profiles Using the</w:t>
      </w:r>
      <w:r>
        <w:t xml:space="preserve"> </w:t>
      </w:r>
      <w:r>
        <w:t xml:space="preserve">cBioPortal</w:t>
      </w:r>
      <w:r>
        <w:t xml:space="preserve">.”</w:t>
      </w:r>
      <w:r>
        <w:t xml:space="preserve"> </w:t>
      </w:r>
      <w:r>
        <w:rPr>
          <w:i/>
          <w:iCs/>
        </w:rPr>
        <w:t xml:space="preserve">Science Signaling</w:t>
      </w:r>
      <w:r>
        <w:t xml:space="preserve"> </w:t>
      </w:r>
      <w:r>
        <w:t xml:space="preserve">6: pl1.</w:t>
      </w:r>
      <w:r>
        <w:t xml:space="preserve"> </w:t>
      </w:r>
      <w:hyperlink r:id="rId67">
        <w:r>
          <w:rPr>
            <w:rStyle w:val="Hyperlink"/>
          </w:rPr>
          <w:t xml:space="preserve">https://doi.org/10.1126/scisignal.2004088</w:t>
        </w:r>
      </w:hyperlink>
      <w:r>
        <w:t xml:space="preserve">.</w:t>
      </w:r>
    </w:p>
    <w:bookmarkEnd w:id="68"/>
    <w:bookmarkStart w:id="70" w:name="ref-gitlin2014"/>
    <w:p>
      <w:pPr>
        <w:pStyle w:val="Bibliography"/>
      </w:pPr>
      <w:r>
        <w:t xml:space="preserve">Gitlin, Alexander D, Ziv Shulman, and Michel C Nussenzweig. 2014.</w:t>
      </w:r>
      <w:r>
        <w:t xml:space="preserve"> </w:t>
      </w:r>
      <w:r>
        <w:t xml:space="preserve">“Clonal Selection in the Germinal Centre by Regulated Proliferation and Hypermutation.”</w:t>
      </w:r>
      <w:r>
        <w:t xml:space="preserve"> </w:t>
      </w:r>
      <w:r>
        <w:rPr>
          <w:i/>
          <w:iCs/>
        </w:rPr>
        <w:t xml:space="preserve">Nature</w:t>
      </w:r>
      <w:r>
        <w:t xml:space="preserve"> </w:t>
      </w:r>
      <w:r>
        <w:t xml:space="preserve">509: 637–40.</w:t>
      </w:r>
      <w:r>
        <w:t xml:space="preserve"> </w:t>
      </w:r>
      <w:hyperlink r:id="rId69">
        <w:r>
          <w:rPr>
            <w:rStyle w:val="Hyperlink"/>
          </w:rPr>
          <w:t xml:space="preserve">https://doi.org/10.1038/nature13300</w:t>
        </w:r>
      </w:hyperlink>
      <w:r>
        <w:t xml:space="preserve">.</w:t>
      </w:r>
    </w:p>
    <w:bookmarkEnd w:id="70"/>
    <w:bookmarkStart w:id="72" w:name="ref-goldman2020"/>
    <w:p>
      <w:pPr>
        <w:pStyle w:val="Bibliography"/>
      </w:pPr>
      <w:r>
        <w:t xml:space="preserve">Goldman, Mary J, Brian Craft, Mim Hastie, et al.</w:t>
      </w:r>
      <w:r>
        <w:t xml:space="preserve"> 2020.</w:t>
      </w:r>
      <w:r>
        <w:t xml:space="preserve"> </w:t>
      </w:r>
      <w:r>
        <w:t xml:space="preserve">“Visualizing and Interpreting Cancer Genomics Data via the</w:t>
      </w:r>
      <w:r>
        <w:t xml:space="preserve"> </w:t>
      </w:r>
      <w:r>
        <w:t xml:space="preserve">U</w:t>
      </w:r>
      <w:r>
        <w:t xml:space="preserve">niversity of</w:t>
      </w:r>
      <w:r>
        <w:t xml:space="preserve"> </w:t>
      </w:r>
      <w:r>
        <w:t xml:space="preserve">C</w:t>
      </w:r>
      <w:r>
        <w:t xml:space="preserve">alifornia</w:t>
      </w:r>
      <w:r>
        <w:t xml:space="preserve"> </w:t>
      </w:r>
      <w:r>
        <w:t xml:space="preserve">S</w:t>
      </w:r>
      <w:r>
        <w:t xml:space="preserve">anta</w:t>
      </w:r>
      <w:r>
        <w:t xml:space="preserve"> </w:t>
      </w:r>
      <w:r>
        <w:t xml:space="preserve">C</w:t>
      </w:r>
      <w:r>
        <w:t xml:space="preserve">ruz</w:t>
      </w:r>
      <w:r>
        <w:t xml:space="preserve"> </w:t>
      </w:r>
      <w:r>
        <w:t xml:space="preserve">X</w:t>
      </w:r>
      <w:r>
        <w:t xml:space="preserve">ena Platform.”</w:t>
      </w:r>
      <w:r>
        <w:t xml:space="preserve"> </w:t>
      </w:r>
      <w:r>
        <w:rPr>
          <w:i/>
          <w:iCs/>
        </w:rPr>
        <w:t xml:space="preserve">Nature Biotechnology</w:t>
      </w:r>
      <w:r>
        <w:t xml:space="preserve"> </w:t>
      </w:r>
      <w:r>
        <w:t xml:space="preserve">38: 675–78.</w:t>
      </w:r>
      <w:r>
        <w:t xml:space="preserve"> </w:t>
      </w:r>
      <w:hyperlink r:id="rId71">
        <w:r>
          <w:rPr>
            <w:rStyle w:val="Hyperlink"/>
          </w:rPr>
          <w:t xml:space="preserve">https://doi.org/10.1038/s41587-020-0546-8</w:t>
        </w:r>
      </w:hyperlink>
      <w:r>
        <w:t xml:space="preserve">.</w:t>
      </w:r>
    </w:p>
    <w:bookmarkEnd w:id="72"/>
    <w:bookmarkStart w:id="74" w:name="ref-helmink2020"/>
    <w:p>
      <w:pPr>
        <w:pStyle w:val="Bibliography"/>
      </w:pPr>
      <w:r>
        <w:t xml:space="preserve">Helmink, Beth A, Sangeetha M Reddy, Jianjun Gao, et al.</w:t>
      </w:r>
      <w:r>
        <w:t xml:space="preserve"> 2020.</w:t>
      </w:r>
      <w:r>
        <w:t xml:space="preserve"> </w:t>
      </w:r>
      <w:r>
        <w:t xml:space="preserve">“</w:t>
      </w:r>
      <w:r>
        <w:t xml:space="preserve">B</w:t>
      </w:r>
      <w:r>
        <w:t xml:space="preserve"> </w:t>
      </w:r>
      <w:r>
        <w:t xml:space="preserve">Cells and Tertiary Lymphoid Structures Promote Immunotherapy Response.”</w:t>
      </w:r>
      <w:r>
        <w:t xml:space="preserve"> </w:t>
      </w:r>
      <w:r>
        <w:rPr>
          <w:i/>
          <w:iCs/>
        </w:rPr>
        <w:t xml:space="preserve">Nature</w:t>
      </w:r>
      <w:r>
        <w:t xml:space="preserve"> </w:t>
      </w:r>
      <w:r>
        <w:t xml:space="preserve">577: 549–55.</w:t>
      </w:r>
      <w:r>
        <w:t xml:space="preserve"> </w:t>
      </w:r>
      <w:hyperlink r:id="rId73">
        <w:r>
          <w:rPr>
            <w:rStyle w:val="Hyperlink"/>
          </w:rPr>
          <w:t xml:space="preserve">https://doi.org/10.1038/s41586-019-1922-8</w:t>
        </w:r>
      </w:hyperlink>
      <w:r>
        <w:t xml:space="preserve">.</w:t>
      </w:r>
    </w:p>
    <w:bookmarkEnd w:id="74"/>
    <w:bookmarkStart w:id="76" w:name="ref-jaume2024"/>
    <w:p>
      <w:pPr>
        <w:pStyle w:val="Bibliography"/>
      </w:pPr>
      <w:r>
        <w:t xml:space="preserve">Jaume, Guillaume, Paul Doucet, Andrew H Song, et al. 2024.</w:t>
      </w:r>
      <w:r>
        <w:t xml:space="preserve"> </w:t>
      </w:r>
      <w:r>
        <w:t xml:space="preserve">“HEST-1k: A Dataset for Spatial Transcriptomics and Histology Image Analysis.”</w:t>
      </w:r>
      <w:r>
        <w:t xml:space="preserve"> </w:t>
      </w:r>
      <w:r>
        <w:rPr>
          <w:i/>
          <w:iCs/>
        </w:rPr>
        <w:t xml:space="preserve">Advances in Neural Information Processing Systems</w:t>
      </w:r>
      <w:r>
        <w:t xml:space="preserve"> </w:t>
      </w:r>
      <w:r>
        <w:t xml:space="preserve">37: 53798–833.</w:t>
      </w:r>
      <w:r>
        <w:t xml:space="preserve"> </w:t>
      </w:r>
      <w:hyperlink r:id="rId75">
        <w:r>
          <w:rPr>
            <w:rStyle w:val="Hyperlink"/>
          </w:rPr>
          <w:t xml:space="preserve">https://doi.org/10.48550/arXiv.2406.16192</w:t>
        </w:r>
      </w:hyperlink>
      <w:r>
        <w:t xml:space="preserve">.</w:t>
      </w:r>
    </w:p>
    <w:bookmarkEnd w:id="76"/>
    <w:bookmarkStart w:id="78" w:name="ref-johnson2007"/>
    <w:p>
      <w:pPr>
        <w:pStyle w:val="Bibliography"/>
      </w:pPr>
      <w:r>
        <w:t xml:space="preserve">Johnson, W Evan, Cheng Li, and Ariel Rabinovic. 2007.</w:t>
      </w:r>
      <w:r>
        <w:t xml:space="preserve"> </w:t>
      </w:r>
      <w:r>
        <w:t xml:space="preserve">“Adjusting Batch Effects in Microarray Expression Data Using Empirical</w:t>
      </w:r>
      <w:r>
        <w:t xml:space="preserve"> </w:t>
      </w:r>
      <w:r>
        <w:t xml:space="preserve">B</w:t>
      </w:r>
      <w:r>
        <w:t xml:space="preserve">ayes Methods.”</w:t>
      </w:r>
      <w:r>
        <w:t xml:space="preserve"> </w:t>
      </w:r>
      <w:r>
        <w:rPr>
          <w:i/>
          <w:iCs/>
        </w:rPr>
        <w:t xml:space="preserve">Biostatistics</w:t>
      </w:r>
      <w:r>
        <w:t xml:space="preserve"> </w:t>
      </w:r>
      <w:r>
        <w:t xml:space="preserve">8: 118–27.</w:t>
      </w:r>
      <w:r>
        <w:t xml:space="preserve"> </w:t>
      </w:r>
      <w:hyperlink r:id="rId77">
        <w:r>
          <w:rPr>
            <w:rStyle w:val="Hyperlink"/>
          </w:rPr>
          <w:t xml:space="preserve">https://doi.org/10.1093/biostatistics/kxj037</w:t>
        </w:r>
      </w:hyperlink>
      <w:r>
        <w:t xml:space="preserve">.</w:t>
      </w:r>
    </w:p>
    <w:bookmarkEnd w:id="78"/>
    <w:bookmarkStart w:id="80" w:name="ref-joshi2015"/>
    <w:p>
      <w:pPr>
        <w:pStyle w:val="Bibliography"/>
      </w:pPr>
      <w:r>
        <w:t xml:space="preserve">Joshi, Nikhil S, Elliot H Akama-Garren, Yi Lu, et al.</w:t>
      </w:r>
      <w:r>
        <w:t xml:space="preserve"> 2015.</w:t>
      </w:r>
      <w:r>
        <w:t xml:space="preserve"> </w:t>
      </w:r>
      <w:r>
        <w:t xml:space="preserve">“Regulatory</w:t>
      </w:r>
      <w:r>
        <w:t xml:space="preserve"> </w:t>
      </w:r>
      <w:r>
        <w:t xml:space="preserve">T</w:t>
      </w:r>
      <w:r>
        <w:t xml:space="preserve"> </w:t>
      </w:r>
      <w:r>
        <w:t xml:space="preserve">Cells in Tumor-Associated Tertiary Lymphoid Structures Suppress Anti-Tumor</w:t>
      </w:r>
      <w:r>
        <w:t xml:space="preserve"> </w:t>
      </w:r>
      <w:r>
        <w:t xml:space="preserve">T</w:t>
      </w:r>
      <w:r>
        <w:t xml:space="preserve"> </w:t>
      </w:r>
      <w:r>
        <w:t xml:space="preserve">Cell Responses.”</w:t>
      </w:r>
      <w:r>
        <w:t xml:space="preserve"> </w:t>
      </w:r>
      <w:r>
        <w:rPr>
          <w:i/>
          <w:iCs/>
        </w:rPr>
        <w:t xml:space="preserve">Immunity</w:t>
      </w:r>
      <w:r>
        <w:t xml:space="preserve"> </w:t>
      </w:r>
      <w:r>
        <w:t xml:space="preserve">43: 579–90.</w:t>
      </w:r>
      <w:r>
        <w:t xml:space="preserve"> </w:t>
      </w:r>
      <w:hyperlink r:id="rId79">
        <w:r>
          <w:rPr>
            <w:rStyle w:val="Hyperlink"/>
          </w:rPr>
          <w:t xml:space="preserve">https://doi.org/10.1016/j.immuni.2015.08.006</w:t>
        </w:r>
      </w:hyperlink>
      <w:r>
        <w:t xml:space="preserve">.</w:t>
      </w:r>
    </w:p>
    <w:bookmarkEnd w:id="80"/>
    <w:bookmarkStart w:id="82" w:name="ref-moses2022"/>
    <w:p>
      <w:pPr>
        <w:pStyle w:val="Bibliography"/>
      </w:pPr>
      <w:r>
        <w:t xml:space="preserve">Moses, Lambda, and Lior Pachter. 2022.</w:t>
      </w:r>
      <w:r>
        <w:t xml:space="preserve"> </w:t>
      </w:r>
      <w:r>
        <w:t xml:space="preserve">“Museum of Spatial Transcriptomics.”</w:t>
      </w:r>
      <w:r>
        <w:t xml:space="preserve"> </w:t>
      </w:r>
      <w:r>
        <w:rPr>
          <w:i/>
          <w:iCs/>
        </w:rPr>
        <w:t xml:space="preserve">Nature Methods</w:t>
      </w:r>
      <w:r>
        <w:t xml:space="preserve"> </w:t>
      </w:r>
      <w:r>
        <w:t xml:space="preserve">19: 534–46.</w:t>
      </w:r>
      <w:r>
        <w:t xml:space="preserve"> </w:t>
      </w:r>
      <w:hyperlink r:id="rId81">
        <w:r>
          <w:rPr>
            <w:rStyle w:val="Hyperlink"/>
          </w:rPr>
          <w:t xml:space="preserve">https://doi.org/10.1038/s41592-022-01409-2</w:t>
        </w:r>
      </w:hyperlink>
      <w:r>
        <w:t xml:space="preserve">.</w:t>
      </w:r>
    </w:p>
    <w:bookmarkEnd w:id="82"/>
    <w:bookmarkStart w:id="84" w:name="ref-motz2013"/>
    <w:p>
      <w:pPr>
        <w:pStyle w:val="Bibliography"/>
      </w:pPr>
      <w:r>
        <w:t xml:space="preserve">Motz, Gregory T, and George Coukos. 2013.</w:t>
      </w:r>
      <w:r>
        <w:t xml:space="preserve"> </w:t>
      </w:r>
      <w:r>
        <w:t xml:space="preserve">“Deciphering and Reversing Tumor Immune Suppression.”</w:t>
      </w:r>
      <w:r>
        <w:t xml:space="preserve"> </w:t>
      </w:r>
      <w:r>
        <w:rPr>
          <w:i/>
          <w:iCs/>
        </w:rPr>
        <w:t xml:space="preserve">Immunity</w:t>
      </w:r>
      <w:r>
        <w:t xml:space="preserve"> </w:t>
      </w:r>
      <w:r>
        <w:t xml:space="preserve">39: 61–73.</w:t>
      </w:r>
      <w:r>
        <w:t xml:space="preserve"> </w:t>
      </w:r>
      <w:hyperlink r:id="rId83">
        <w:r>
          <w:rPr>
            <w:rStyle w:val="Hyperlink"/>
          </w:rPr>
          <w:t xml:space="preserve">https://doi.org/10.1016/j.immuni.2013.07.005</w:t>
        </w:r>
      </w:hyperlink>
      <w:r>
        <w:t xml:space="preserve">.</w:t>
      </w:r>
    </w:p>
    <w:bookmarkEnd w:id="84"/>
    <w:bookmarkStart w:id="86" w:name="ref-petitprez2020"/>
    <w:p>
      <w:pPr>
        <w:pStyle w:val="Bibliography"/>
      </w:pPr>
      <w:r>
        <w:t xml:space="preserve">Petitprez, Florent, Aurélien de Reynies, Emily Z Keung, et al.</w:t>
      </w:r>
      <w:r>
        <w:t xml:space="preserve"> 2020.</w:t>
      </w:r>
      <w:r>
        <w:t xml:space="preserve"> </w:t>
      </w:r>
      <w:r>
        <w:t xml:space="preserve">“</w:t>
      </w:r>
      <w:r>
        <w:t xml:space="preserve">B</w:t>
      </w:r>
      <w:r>
        <w:t xml:space="preserve"> </w:t>
      </w:r>
      <w:r>
        <w:t xml:space="preserve">Cells Are Associated with Survival and Immunotherapy Response in Sarcoma.”</w:t>
      </w:r>
      <w:r>
        <w:t xml:space="preserve"> </w:t>
      </w:r>
      <w:r>
        <w:rPr>
          <w:i/>
          <w:iCs/>
        </w:rPr>
        <w:t xml:space="preserve">Nature</w:t>
      </w:r>
      <w:r>
        <w:t xml:space="preserve"> </w:t>
      </w:r>
      <w:r>
        <w:t xml:space="preserve">577: 556–60.</w:t>
      </w:r>
      <w:r>
        <w:t xml:space="preserve"> </w:t>
      </w:r>
      <w:hyperlink r:id="rId85">
        <w:r>
          <w:rPr>
            <w:rStyle w:val="Hyperlink"/>
          </w:rPr>
          <w:t xml:space="preserve">https://doi.org/10.1038/s41586-019-1906-8</w:t>
        </w:r>
      </w:hyperlink>
      <w:r>
        <w:t xml:space="preserve">.</w:t>
      </w:r>
    </w:p>
    <w:bookmarkEnd w:id="86"/>
    <w:bookmarkStart w:id="88" w:name="ref-rijthoven2024"/>
    <w:p>
      <w:pPr>
        <w:pStyle w:val="Bibliography"/>
      </w:pPr>
      <w:r>
        <w:t xml:space="preserve">Rijthoven, Mitchel van, Siamak Obahor, Federica Pagliarulo, et al.</w:t>
      </w:r>
      <w:r>
        <w:t xml:space="preserve"> 2024.</w:t>
      </w:r>
      <w:r>
        <w:t xml:space="preserve"> </w:t>
      </w:r>
      <w:r>
        <w:t xml:space="preserve">“Multi-Resolution Deep Learning Characterizes Tertiary Lymphoid Structures and Their Prognostic Relevance in Solid Tumors.”</w:t>
      </w:r>
      <w:r>
        <w:t xml:space="preserve"> </w:t>
      </w:r>
      <w:r>
        <w:rPr>
          <w:i/>
          <w:iCs/>
        </w:rPr>
        <w:t xml:space="preserve">Communications Medicine</w:t>
      </w:r>
      <w:r>
        <w:t xml:space="preserve"> </w:t>
      </w:r>
      <w:r>
        <w:t xml:space="preserve">4: 5.</w:t>
      </w:r>
      <w:r>
        <w:t xml:space="preserve"> </w:t>
      </w:r>
      <w:hyperlink r:id="rId87">
        <w:r>
          <w:rPr>
            <w:rStyle w:val="Hyperlink"/>
          </w:rPr>
          <w:t xml:space="preserve">https://doi.org/10.1038/s43856-023-00421-7</w:t>
        </w:r>
      </w:hyperlink>
      <w:r>
        <w:t xml:space="preserve">.</w:t>
      </w:r>
    </w:p>
    <w:bookmarkEnd w:id="88"/>
    <w:bookmarkStart w:id="90" w:name="ref-sautes-fridman2019"/>
    <w:p>
      <w:pPr>
        <w:pStyle w:val="Bibliography"/>
      </w:pPr>
      <w:r>
        <w:t xml:space="preserve">Sautes-Fridman, Catherine, Florent Petitprez, Julien Calderaro, and Wolf H Fridman. 2019.</w:t>
      </w:r>
      <w:r>
        <w:t xml:space="preserve"> </w:t>
      </w:r>
      <w:r>
        <w:t xml:space="preserve">“Tertiary Lymphoid Structures in the Era of Cancer Immunology.”</w:t>
      </w:r>
      <w:r>
        <w:t xml:space="preserve"> </w:t>
      </w:r>
      <w:r>
        <w:rPr>
          <w:i/>
          <w:iCs/>
        </w:rPr>
        <w:t xml:space="preserve">Nature Reviews Cancer</w:t>
      </w:r>
      <w:r>
        <w:t xml:space="preserve"> </w:t>
      </w:r>
      <w:r>
        <w:t xml:space="preserve">19: 307–25.</w:t>
      </w:r>
      <w:r>
        <w:t xml:space="preserve"> </w:t>
      </w:r>
      <w:hyperlink r:id="rId89">
        <w:r>
          <w:rPr>
            <w:rStyle w:val="Hyperlink"/>
          </w:rPr>
          <w:t xml:space="preserve">https://doi.org/10.1038/s41568-019-0144-6</w:t>
        </w:r>
      </w:hyperlink>
      <w:r>
        <w:t xml:space="preserve">.</w:t>
      </w:r>
    </w:p>
    <w:bookmarkEnd w:id="90"/>
    <w:bookmarkStart w:id="92" w:name="ref-schumacher2022"/>
    <w:p>
      <w:pPr>
        <w:pStyle w:val="Bibliography"/>
      </w:pPr>
      <w:r>
        <w:t xml:space="preserve">Schumacher, Ton N, and Daniela S Thommen. 2022.</w:t>
      </w:r>
      <w:r>
        <w:t xml:space="preserve"> </w:t>
      </w:r>
      <w:r>
        <w:t xml:space="preserve">“Tertiary Lymphoid Structures in Cancer.”</w:t>
      </w:r>
      <w:r>
        <w:t xml:space="preserve"> </w:t>
      </w:r>
      <w:r>
        <w:rPr>
          <w:i/>
          <w:iCs/>
        </w:rPr>
        <w:t xml:space="preserve">Science</w:t>
      </w:r>
      <w:r>
        <w:t xml:space="preserve"> </w:t>
      </w:r>
      <w:r>
        <w:t xml:space="preserve">375: eabf9419.</w:t>
      </w:r>
      <w:r>
        <w:t xml:space="preserve"> </w:t>
      </w:r>
      <w:hyperlink r:id="rId91">
        <w:r>
          <w:rPr>
            <w:rStyle w:val="Hyperlink"/>
          </w:rPr>
          <w:t xml:space="preserve">https://doi.org/10.1126/science.abf9419</w:t>
        </w:r>
      </w:hyperlink>
      <w:r>
        <w:t xml:space="preserve">.</w:t>
      </w:r>
    </w:p>
    <w:bookmarkEnd w:id="92"/>
    <w:bookmarkStart w:id="94" w:name="ref-shiao2024"/>
    <w:p>
      <w:pPr>
        <w:pStyle w:val="Bibliography"/>
      </w:pPr>
      <w:r>
        <w:t xml:space="preserve">Shiao, Stephen L, Emilee B Mardian, Megan L Troxell, et al.</w:t>
      </w:r>
      <w:r>
        <w:t xml:space="preserve"> 2024.</w:t>
      </w:r>
      <w:r>
        <w:t xml:space="preserve"> </w:t>
      </w:r>
      <w:r>
        <w:t xml:space="preserve">“Single-Cell Multi-Omics Reveal Tumor Microenvironment States Predictive of Response to Pembrolizumab in Early Triple-Negative Breast Cancer.”</w:t>
      </w:r>
      <w:r>
        <w:t xml:space="preserve"> </w:t>
      </w:r>
      <w:r>
        <w:rPr>
          <w:i/>
          <w:iCs/>
        </w:rPr>
        <w:t xml:space="preserve">Cancer Cell</w:t>
      </w:r>
      <w:r>
        <w:t xml:space="preserve"> </w:t>
      </w:r>
      <w:r>
        <w:t xml:space="preserve">42: 1523–40.</w:t>
      </w:r>
      <w:r>
        <w:t xml:space="preserve"> </w:t>
      </w:r>
      <w:hyperlink r:id="rId93">
        <w:r>
          <w:rPr>
            <w:rStyle w:val="Hyperlink"/>
          </w:rPr>
          <w:t xml:space="preserve">https://doi.org/10.1016/j.ccell.2023.12.012</w:t>
        </w:r>
      </w:hyperlink>
      <w:r>
        <w:t xml:space="preserve">.</w:t>
      </w:r>
    </w:p>
    <w:bookmarkEnd w:id="94"/>
    <w:bookmarkStart w:id="96" w:name="ref-stahl2016"/>
    <w:p>
      <w:pPr>
        <w:pStyle w:val="Bibliography"/>
      </w:pPr>
      <w:r>
        <w:t xml:space="preserve">Stahl, Patrik L, Fredrik Salmen, Sanja Vickovic, et al.</w:t>
      </w:r>
      <w:r>
        <w:t xml:space="preserve"> 2016.</w:t>
      </w:r>
      <w:r>
        <w:t xml:space="preserve"> </w:t>
      </w:r>
      <w:r>
        <w:t xml:space="preserve">“Visualization and Analysis of Gene Expression in Tissue Sections by Spatial Transcriptomics.”</w:t>
      </w:r>
      <w:r>
        <w:t xml:space="preserve"> </w:t>
      </w:r>
      <w:r>
        <w:rPr>
          <w:i/>
          <w:iCs/>
        </w:rPr>
        <w:t xml:space="preserve">Science</w:t>
      </w:r>
      <w:r>
        <w:t xml:space="preserve"> </w:t>
      </w:r>
      <w:r>
        <w:t xml:space="preserve">353: 78–82.</w:t>
      </w:r>
      <w:r>
        <w:t xml:space="preserve"> </w:t>
      </w:r>
      <w:hyperlink r:id="rId95">
        <w:r>
          <w:rPr>
            <w:rStyle w:val="Hyperlink"/>
          </w:rPr>
          <w:t xml:space="preserve">https://doi.org/10.1126/science.aaf2403</w:t>
        </w:r>
      </w:hyperlink>
      <w:r>
        <w:t xml:space="preserve">.</w:t>
      </w:r>
    </w:p>
    <w:bookmarkEnd w:id="96"/>
    <w:bookmarkStart w:id="98" w:name="ref-wolf2018"/>
    <w:p>
      <w:pPr>
        <w:pStyle w:val="Bibliography"/>
      </w:pPr>
      <w:r>
        <w:t xml:space="preserve">Wolf, F Alexander, Philipp Angerer, and Fabian J Theis. 2018.</w:t>
      </w:r>
      <w:r>
        <w:t xml:space="preserve"> </w:t>
      </w:r>
      <w:r>
        <w:t xml:space="preserve">“</w:t>
      </w:r>
      <w:r>
        <w:t xml:space="preserve">SCANPY</w:t>
      </w:r>
      <w:r>
        <w:t xml:space="preserve">: Large-Scale Single-Cell Gene Expression Data Analysis.”</w:t>
      </w:r>
      <w:r>
        <w:t xml:space="preserve"> </w:t>
      </w:r>
      <w:r>
        <w:rPr>
          <w:i/>
          <w:iCs/>
        </w:rPr>
        <w:t xml:space="preserve">Genome Biology</w:t>
      </w:r>
      <w:r>
        <w:t xml:space="preserve"> </w:t>
      </w:r>
      <w:r>
        <w:t xml:space="preserve">19: 15.</w:t>
      </w:r>
      <w:r>
        <w:t xml:space="preserve"> </w:t>
      </w:r>
      <w:hyperlink r:id="rId97">
        <w:r>
          <w:rPr>
            <w:rStyle w:val="Hyperlink"/>
          </w:rPr>
          <w:t xml:space="preserve">https://doi.org/10.1186/s13059-017-1382-0</w:t>
        </w:r>
      </w:hyperlink>
      <w:r>
        <w:t xml:space="preserve">.</w:t>
      </w:r>
    </w:p>
    <w:bookmarkEnd w:id="98"/>
    <w:bookmarkStart w:id="100" w:name="ref-zheng2023"/>
    <w:p>
      <w:pPr>
        <w:pStyle w:val="Bibliography"/>
      </w:pPr>
      <w:r>
        <w:t xml:space="preserve">Zheng, Lingyun, Shaohua Qin, Weiwei Si, et al.</w:t>
      </w:r>
      <w:r>
        <w:t xml:space="preserve"> 2021.</w:t>
      </w:r>
      <w:r>
        <w:t xml:space="preserve"> </w:t>
      </w:r>
      <w:r>
        <w:t xml:space="preserve">“Pan-Cancer Single-Cell Landscape of Tumor-Infiltrating t Cells.”</w:t>
      </w:r>
      <w:r>
        <w:t xml:space="preserve"> </w:t>
      </w:r>
      <w:r>
        <w:rPr>
          <w:i/>
          <w:iCs/>
        </w:rPr>
        <w:t xml:space="preserve">Science</w:t>
      </w:r>
      <w:r>
        <w:t xml:space="preserve"> </w:t>
      </w:r>
      <w:r>
        <w:t xml:space="preserve">374: abe6474.</w:t>
      </w:r>
      <w:r>
        <w:t xml:space="preserve"> </w:t>
      </w:r>
      <w:hyperlink r:id="rId99">
        <w:r>
          <w:rPr>
            <w:rStyle w:val="Hyperlink"/>
          </w:rPr>
          <w:t xml:space="preserve">https://doi.org/10.1126/science.abe6474</w:t>
        </w:r>
      </w:hyperlink>
      <w:r>
        <w:t xml:space="preserve">.</w:t>
      </w:r>
    </w:p>
    <w:bookmarkEnd w:id="100"/>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hyperlink" Id="rId59" Target="https://doi.org/10.1016/j.ajpath.2011.03.007" TargetMode="External" /><Relationship Type="http://schemas.openxmlformats.org/officeDocument/2006/relationships/hyperlink" Id="rId93" Target="https://doi.org/10.1016/j.ccell.2023.12.012" TargetMode="External" /><Relationship Type="http://schemas.openxmlformats.org/officeDocument/2006/relationships/hyperlink" Id="rId83" Target="https://doi.org/10.1016/j.immuni.2013.07.005" TargetMode="External" /><Relationship Type="http://schemas.openxmlformats.org/officeDocument/2006/relationships/hyperlink" Id="rId79" Target="https://doi.org/10.1016/j.immuni.2015.08.006" TargetMode="External" /><Relationship Type="http://schemas.openxmlformats.org/officeDocument/2006/relationships/hyperlink" Id="rId69" Target="https://doi.org/10.1038/nature13300" TargetMode="External" /><Relationship Type="http://schemas.openxmlformats.org/officeDocument/2006/relationships/hyperlink" Id="rId65" Target="https://doi.org/10.1038/ni1330" TargetMode="External" /><Relationship Type="http://schemas.openxmlformats.org/officeDocument/2006/relationships/hyperlink" Id="rId89" Target="https://doi.org/10.1038/s41568-019-0144-6" TargetMode="External" /><Relationship Type="http://schemas.openxmlformats.org/officeDocument/2006/relationships/hyperlink" Id="rId85" Target="https://doi.org/10.1038/s41586-019-1906-8" TargetMode="External" /><Relationship Type="http://schemas.openxmlformats.org/officeDocument/2006/relationships/hyperlink" Id="rId57" Target="https://doi.org/10.1038/s41586-019-1914-8" TargetMode="External" /><Relationship Type="http://schemas.openxmlformats.org/officeDocument/2006/relationships/hyperlink" Id="rId73" Target="https://doi.org/10.1038/s41586-019-1922-8" TargetMode="External" /><Relationship Type="http://schemas.openxmlformats.org/officeDocument/2006/relationships/hyperlink" Id="rId71" Target="https://doi.org/10.1038/s41587-020-0546-8" TargetMode="External" /><Relationship Type="http://schemas.openxmlformats.org/officeDocument/2006/relationships/hyperlink" Id="rId81" Target="https://doi.org/10.1038/s41592-022-01409-2" TargetMode="External" /><Relationship Type="http://schemas.openxmlformats.org/officeDocument/2006/relationships/hyperlink" Id="rId63" Target="https://doi.org/10.1038/s42003-022-04356-y" TargetMode="External" /><Relationship Type="http://schemas.openxmlformats.org/officeDocument/2006/relationships/hyperlink" Id="rId87" Target="https://doi.org/10.1038/s43856-023-00421-7" TargetMode="External" /><Relationship Type="http://schemas.openxmlformats.org/officeDocument/2006/relationships/hyperlink" Id="rId61" Target="https://doi.org/10.1080/15548627.2020.1714209" TargetMode="External" /><Relationship Type="http://schemas.openxmlformats.org/officeDocument/2006/relationships/hyperlink" Id="rId77" Target="https://doi.org/10.1093/biostatistics/kxj037" TargetMode="External" /><Relationship Type="http://schemas.openxmlformats.org/officeDocument/2006/relationships/hyperlink" Id="rId95" Target="https://doi.org/10.1126/science.aaf2403" TargetMode="External" /><Relationship Type="http://schemas.openxmlformats.org/officeDocument/2006/relationships/hyperlink" Id="rId99" Target="https://doi.org/10.1126/science.abe6474" TargetMode="External" /><Relationship Type="http://schemas.openxmlformats.org/officeDocument/2006/relationships/hyperlink" Id="rId91" Target="https://doi.org/10.1126/science.abf9419" TargetMode="External" /><Relationship Type="http://schemas.openxmlformats.org/officeDocument/2006/relationships/hyperlink" Id="rId67" Target="https://doi.org/10.1126/scisignal.2004088" TargetMode="External" /><Relationship Type="http://schemas.openxmlformats.org/officeDocument/2006/relationships/hyperlink" Id="rId55" Target="https://doi.org/10.1158/2326-6066.CIR-22-0271" TargetMode="External" /><Relationship Type="http://schemas.openxmlformats.org/officeDocument/2006/relationships/hyperlink" Id="rId97" Target="https://doi.org/10.1186/s13059-017-1382-0" TargetMode="External" /><Relationship Type="http://schemas.openxmlformats.org/officeDocument/2006/relationships/hyperlink" Id="rId75" Target="https://doi.org/10.48550/arXiv.2406.16192"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1016/j.ajpath.2011.03.007" TargetMode="External" /><Relationship Type="http://schemas.openxmlformats.org/officeDocument/2006/relationships/hyperlink" Id="rId93" Target="https://doi.org/10.1016/j.ccell.2023.12.012" TargetMode="External" /><Relationship Type="http://schemas.openxmlformats.org/officeDocument/2006/relationships/hyperlink" Id="rId83" Target="https://doi.org/10.1016/j.immuni.2013.07.005" TargetMode="External" /><Relationship Type="http://schemas.openxmlformats.org/officeDocument/2006/relationships/hyperlink" Id="rId79" Target="https://doi.org/10.1016/j.immuni.2015.08.006" TargetMode="External" /><Relationship Type="http://schemas.openxmlformats.org/officeDocument/2006/relationships/hyperlink" Id="rId69" Target="https://doi.org/10.1038/nature13300" TargetMode="External" /><Relationship Type="http://schemas.openxmlformats.org/officeDocument/2006/relationships/hyperlink" Id="rId65" Target="https://doi.org/10.1038/ni1330" TargetMode="External" /><Relationship Type="http://schemas.openxmlformats.org/officeDocument/2006/relationships/hyperlink" Id="rId89" Target="https://doi.org/10.1038/s41568-019-0144-6" TargetMode="External" /><Relationship Type="http://schemas.openxmlformats.org/officeDocument/2006/relationships/hyperlink" Id="rId85" Target="https://doi.org/10.1038/s41586-019-1906-8" TargetMode="External" /><Relationship Type="http://schemas.openxmlformats.org/officeDocument/2006/relationships/hyperlink" Id="rId57" Target="https://doi.org/10.1038/s41586-019-1914-8" TargetMode="External" /><Relationship Type="http://schemas.openxmlformats.org/officeDocument/2006/relationships/hyperlink" Id="rId73" Target="https://doi.org/10.1038/s41586-019-1922-8" TargetMode="External" /><Relationship Type="http://schemas.openxmlformats.org/officeDocument/2006/relationships/hyperlink" Id="rId71" Target="https://doi.org/10.1038/s41587-020-0546-8" TargetMode="External" /><Relationship Type="http://schemas.openxmlformats.org/officeDocument/2006/relationships/hyperlink" Id="rId81" Target="https://doi.org/10.1038/s41592-022-01409-2" TargetMode="External" /><Relationship Type="http://schemas.openxmlformats.org/officeDocument/2006/relationships/hyperlink" Id="rId63" Target="https://doi.org/10.1038/s42003-022-04356-y" TargetMode="External" /><Relationship Type="http://schemas.openxmlformats.org/officeDocument/2006/relationships/hyperlink" Id="rId87" Target="https://doi.org/10.1038/s43856-023-00421-7" TargetMode="External" /><Relationship Type="http://schemas.openxmlformats.org/officeDocument/2006/relationships/hyperlink" Id="rId61" Target="https://doi.org/10.1080/15548627.2020.1714209" TargetMode="External" /><Relationship Type="http://schemas.openxmlformats.org/officeDocument/2006/relationships/hyperlink" Id="rId77" Target="https://doi.org/10.1093/biostatistics/kxj037" TargetMode="External" /><Relationship Type="http://schemas.openxmlformats.org/officeDocument/2006/relationships/hyperlink" Id="rId95" Target="https://doi.org/10.1126/science.aaf2403" TargetMode="External" /><Relationship Type="http://schemas.openxmlformats.org/officeDocument/2006/relationships/hyperlink" Id="rId99" Target="https://doi.org/10.1126/science.abe6474" TargetMode="External" /><Relationship Type="http://schemas.openxmlformats.org/officeDocument/2006/relationships/hyperlink" Id="rId91" Target="https://doi.org/10.1126/science.abf9419" TargetMode="External" /><Relationship Type="http://schemas.openxmlformats.org/officeDocument/2006/relationships/hyperlink" Id="rId67" Target="https://doi.org/10.1126/scisignal.2004088" TargetMode="External" /><Relationship Type="http://schemas.openxmlformats.org/officeDocument/2006/relationships/hyperlink" Id="rId55" Target="https://doi.org/10.1158/2326-6066.CIR-22-0271" TargetMode="External" /><Relationship Type="http://schemas.openxmlformats.org/officeDocument/2006/relationships/hyperlink" Id="rId97" Target="https://doi.org/10.1186/s13059-017-1382-0" TargetMode="External" /><Relationship Type="http://schemas.openxmlformats.org/officeDocument/2006/relationships/hyperlink" Id="rId75" Target="https://doi.org/10.48550/arXiv.2406.161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Instance-Level Spatial Transcriptomics Resolves TLS Functional States Predictive of Survival and Immunotherapy Response Across Cancer Types</dc:title>
  <dc:creator> </dc:creator>
  <cp:keywords/>
  <dcterms:created xsi:type="dcterms:W3CDTF">2026-06-02T15:15:23Z</dcterms:created>
  <dcterms:modified xsi:type="dcterms:W3CDTF">2026-06-02T15:15:23Z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Tertiary lymphoid structures (TLS) are ectopic lymphoid organs whose functional state (immunogenic or suppressive) determines their clinical impact, yet bulk transcriptomics cannot distinguish these states because critical spatial signals are lost when tissue is homogenised. We characterise TLS microenvironments at the instance level from spatial transcriptomics (ST), applied to 670 TLS instances detected by HookNet-TLS across 113 ST samples from 12 cancer types in the HEST-1k atlas. Feature vectors combine seven in-TLS gene module scores (germinal centre, T follicular helper, plasma cell, HEV, suppressive, myeloid-suppressive, cytotoxic) with five spatial neighbourhood scores within a 300 µm microenvironmental ring. Leiden clustering of these 12 features resolves six functionally distinct TLS states (ARI =0.83 ± 0.14). Cluster C1 (immunogenic TLS, n = 168) is enriched for germinal centre and plasma cell activity and co-expresses canonical TLS organisers not included in the feature set (CR2/CD21 9.4×, LTA 6.0×, MS4A1/CD20 4.0× above cohort mean). Validated across four independent cohorts: C1 independently predicts progression-free survival in TCGA-BRCA (Cox HR = 0.915 [0.844–0.992], p = 0.031, n = 927), overall survival in METABRIC (n = 1,980, HR = 0.855, p = 0.003), and overall survival in TCGA-CESC (HR = 0.562 [0.345–0.918], p = 0.021, n = 304), demonstrating cross-cancer generalisability. Pre-treatment C1 scores also predict pembrolizumab response in TNBC (Mann-Whitney p = 0.030, Spearman \rho = −0.384, p = 0.040). In contrast, Cluster C4 (myeloid-suppressive TLS, n = 70) is defined by neighbourhood myeloid enrichment and TGFβ signalling, spatial features absent from bulk transcriptomic signatures, explaining its null survival signal in TCGA-BRCA and METABRIC. The framework establishes that TLS functional state is encoded in the spatial microenvironment, not in aggregate marker abundance, and provides a scalable ST-based profiling strategy for multi-cancer TLS characterisation. A morphological transfer experiment demonstrates that the ST-derived C1/C4 distinction is recoverable from H&amp;E alone: a Random Forest on nine aggregate features achieves AUROC = 0.744 within the SPA platform (C1 vs C4, 9-fold LOPO-CV), and a two-region spatial graph attention network improves this to AUROC = 0.857 (+0.113), confirming that the ST-derived functional states have a spatially-structured histological correlate accessible without transcriptomic data.</vt:lpwstr>
  </property>
  <property fmtid="{D5CDD505-2E9C-101B-9397-08002B2CF9AE}" pid="3" name="bibliography">
    <vt:lpwstr>references.bib</vt:lpwstr>
  </property>
  <property fmtid="{D5CDD505-2E9C-101B-9397-08002B2CF9AE}" pid="4" name="date">
    <vt:lpwstr>2026</vt:lpwstr>
  </property>
</Properties>
</file>