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28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6</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w:t>
              <w:br/>
              <w:br/>
              <w:t>【依据】客户口头答复与现场沟通。</w:t>
              <w:br/>
              <w:br/>
              <w:t>【2026-09 补注】RFP 1.6.3.1 的资源数据（经 ESB 自国家数据中心取得的人员与车辆信息、经 Aliali 接口取得的报警人位置等）同样由 CAD 获取并落库，本方从展示库一并取得，不构成第四类数据源。见 DD-42 与 IR-41。</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40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r>
              <w:rPr>
                <w:rFonts w:ascii="微软雅黑" w:hAnsi="微软雅黑" w:eastAsia="微软雅黑"/>
                <w:b w:val="0"/>
                <w:sz w:val="18"/>
              </w:rPr>
              <w:t>26</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r>
              <w:rPr>
                <w:rFonts w:ascii="微软雅黑" w:hAnsi="微软雅黑" w:eastAsia="微软雅黑"/>
                <w:b w:val="0"/>
                <w:sz w:val="16"/>
              </w:rPr>
              <w:t>水位线字段名；是否存在数据库侧单调递增序号</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增量拉取机制的选择。只有时间戳时须加回看窗口。</w:t>
            </w:r>
          </w:p>
        </w:tc>
        <w:tc>
          <w:tcPr>
            <w:tcW w:type="dxa" w:w="1701"/>
          </w:tcPr>
          <w:p>
            <w:pPr>
              <w:spacing w:after="40" w:before="40" w:line="283" w:lineRule="auto"/>
            </w:pPr>
            <w:r/>
            <w:r>
              <w:rPr>
                <w:rFonts w:ascii="微软雅黑" w:hAnsi="微软雅黑" w:eastAsia="微软雅黑"/>
                <w:b w:val="0"/>
                <w:sz w:val="16"/>
              </w:rPr>
              <w:t>接口文档中明确字段名与语义</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PostgreSQL，一次性复制；旧系统会下线；归档库中无 ICP 数据</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r>
              <w:rPr>
                <w:rFonts w:ascii="微软雅黑" w:hAnsi="微软雅黑" w:eastAsia="微软雅黑"/>
                <w:b w:val="0"/>
                <w:sz w:val="18"/>
              </w:rPr>
              <w:t>IR-01 至 IR-07 · IR-41</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