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契约字段规范、连接器状态机、水位与重放、隔离区、结构漂移、旁路数据源、归档多版本归一化与迁移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52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 API、记录检索、受控 SQL、实时推送、告警与投递、对外数据服务与 ESB、AI 集成四接口、移动端对外面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门户信息架构、报表与仪表板的机制、双语模板、地图嵌入、大屏与移动布局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个仪表板的逐张规格，含屏幕版式与打印版式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M-01 至 M-11 逐个界面的功能、字段、权限与操作</w:t>
            </w: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留痕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界面规</w:t>
            </w:r>
            <w:r>
              <w:rPr>
                <w:rFonts w:ascii="微软雅黑" w:hAnsi="微软雅黑"/>
                <w:sz w:val="18"/>
              </w:rPr>
              <w:lastRenderedPageBreak/>
              <w:t>格 · 原型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集群参数、降级决策树、备份与恢复、部署与离线补丁、三套环境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条款到需求到章节的对应。LD 完成后回填开发状态与对应的 LD 章节。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28 条假设与 40 项信息需求。开工前逐条复核，状态为"待确认"或"未确认"的不可依赖。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33 条约束与 42 项设计决策。改动任何架构决定之前必须先读"被拒绝的方案"一列。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逐项确认五类话务指标能否提供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直接决定 R-03 至 R-07 五张报表能否按 RFP 1.6.2.20.1 至 .5 交付。不能提供即构成不合规，且无第二条技术通道可替代。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IR-11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接入层。含旁路数据源与归档多版本归一化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需人工复核的条款（已补复核结论列）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