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8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40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40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52"/>
        </w:rPr>
        <w:t>概要设计说明书</w:t>
      </w:r>
    </w:p>
    <w:p>
      <w:pPr>
        <w:spacing w:before="0" w:after="1200"/>
        <w:jc w:val="center"/>
      </w:pPr>
      <w:r>
        <w:rPr>
          <w:rFonts w:ascii="微软雅黑" w:hAnsi="微软雅黑" w:eastAsia="微软雅黑"/>
          <w:b w:val="0"/>
          <w:color w:val="4B5563"/>
          <w:sz w:val="24"/>
        </w:rPr>
        <w:t>High Level Design  ( HLD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v0.2  （讨论稿）</w:t>
      </w:r>
    </w:p>
    <w:p>
      <w:pPr>
        <w:spacing w:before="0" w:after="24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本文件定义系统由哪些部分组成、各部分之间如何连接、以及失效时的行为。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具体的数据结构、接口报文与实现方法在详细设计（LLD）中定义。</w:t>
      </w:r>
    </w:p>
    <w:p>
      <w:r>
        <w:br w:type="page"/>
      </w:r>
    </w:p>
    <w:p>
      <w:pPr>
        <w:pStyle w:val="Heading1"/>
      </w:pPr>
      <w:r>
        <w:t xml:space="preserve">  文档信息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907"/>
        <w:gridCol w:w="1077"/>
        <w:gridCol w:w="5726"/>
        <w:gridCol w:w="1020"/>
      </w:tblGrid>
      <w:tr>
        <w:trPr>
          <w:tblHeader/>
        </w:trPr>
        <w:tc>
          <w:tcPr>
            <w:tcW w:type="dxa" w:w="90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版本</w:t>
            </w:r>
          </w:p>
        </w:tc>
        <w:tc>
          <w:tcPr>
            <w:tcW w:type="dxa" w:w="107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日期</w:t>
            </w:r>
          </w:p>
        </w:tc>
        <w:tc>
          <w:tcPr>
            <w:tcW w:type="dxa" w:w="5726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修订说明</w:t>
            </w:r>
          </w:p>
        </w:tc>
        <w:tc>
          <w:tcPr>
            <w:tcW w:type="dxa" w:w="1020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状态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v0.1</w:t>
            </w:r>
          </w:p>
        </w:tc>
        <w:tc>
          <w:tcPr>
            <w:tcW w:type="dxa" w:w="107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2026-09</w:t>
            </w:r>
          </w:p>
        </w:tc>
        <w:tc>
          <w:tcPr>
            <w:tcW w:type="dxa" w:w="572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首版。框架设计、数据接入、数据模型、指标口径、服务接口、界面、管理运维、安全权限、高可用、部署、多站预留、待定项登记表。</w:t>
            </w:r>
          </w:p>
        </w:tc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v0.2</w:t>
            </w:r>
          </w:p>
        </w:tc>
        <w:tc>
          <w:tcPr>
            <w:tcW w:type="dxa" w:w="107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2026-09</w:t>
            </w:r>
          </w:p>
        </w:tc>
        <w:tc>
          <w:tcPr>
            <w:tcW w:type="dxa" w:w="572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依据 RFP 条款逐条复核结果修订。三处实质更正：（一）报表与仪表板数量由三十与十二更正为四十与二十（RFP 1.6.2.25 硬数量）；（二）对外数据服务由"预留能力"更正为"必须交付"（RFP 1.6.2.29、1.6.2.31.1、1.6.2.31.2）；（三）自助分析的"不允许自由 SQL"更正为"提供受控 SQL 查询能力"（RFP 1.6.2.15）。另补入客户反馈数据源、热点与聚集区分析、两项前置门与迁移方案硬期限、库副本与字典模型交付物。图 3-1 与图 3-2 同步更新。</w:t>
            </w:r>
          </w:p>
        </w:tc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已由 v0.3 取代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v0.3</w:t>
            </w:r>
          </w:p>
        </w:tc>
        <w:tc>
          <w:tcPr>
            <w:tcW w:type="dxa" w:w="107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2026-09</w:t>
            </w:r>
          </w:p>
        </w:tc>
        <w:tc>
          <w:tcPr>
            <w:tcW w:type="dxa" w:w="572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依据详细设计第一轮讨论结论修订，共十处。一、AI 能力经确认由联合体内 AI 包实现，本方交付四向集成接口（IF-07、IF-37 至 IF-39）并以 core.fact_ai_inference 承载回流结果。二、GIS 由沙特本地厂商 HudHud 提供地图数据与嵌入式组件、本地部署，本方保留空间聚合并启用 PostGIS。三、系统设 DMZ 区，含 internet 出口与短信、邮件两个网关（均由总包商运维），告警与报表分发合并为统一投递服务。四、移动端本期交付，形态为只读聚合管理看板，经 DMZ 反向代理访问（IF-40），与 RFP 1.3.2.12.15 的实质差异消解。五、新增记录检索服务，补上 RFP 1.6.2.7 的记录级检索能力。六、新增字段级可见性矩阵，并启用按派驻部门的行级安全（AS-14 已推翻）。七、响应时间改为三档分层承诺，快速路径以近一年数据为界。八、保留期改为三层，纠正八年在线保留对 RFP 2.7.10.4 的口径误读。九、新增 M-11 数据分类与发现界面，管理界面由十个增为十一个。十、迁移起始年份确认为 2016 年，规模基线按约十一年修订。</w:t>
            </w:r>
          </w:p>
        </w:tc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讨论稿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color w:val="4B5563"/>
          <w:sz w:val="20"/>
        </w:rPr>
        <w:t>本版为讨论稿。第 14 章列出的待定项在答复前，相关章节的内容按建议值撰写并标注"待确认"，不作为承诺。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color w:val="4B5563"/>
          <w:sz w:val="20"/>
        </w:rPr>
        <w:t>本文件是投标层面的概要设计。面向开发组的条款级需求、假设与信息需求、约束与设计决策记录，见同目录下的 HD-00 至 HD-05 交接包。三者出现分歧时以 RFP 原文为准。</w:t>
      </w:r>
    </w:p>
    <w:p>
      <w:pPr>
        <w:spacing w:before="0" w:after="200"/>
      </w:pPr>
    </w:p>
    <w:p>
      <w:pPr>
        <w:spacing w:before="0" w:after="80"/>
      </w:pPr>
      <w:r>
        <w:rPr>
          <w:rFonts w:ascii="微软雅黑" w:hAnsi="微软雅黑" w:eastAsia="微软雅黑"/>
          <w:b/>
          <w:color w:val="111827"/>
          <w:sz w:val="24"/>
        </w:rPr>
        <w:t>图表清单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247"/>
        <w:gridCol w:w="5329"/>
        <w:gridCol w:w="2268"/>
      </w:tblGrid>
      <w:tr>
        <w:trPr>
          <w:tblHeader/>
        </w:trPr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532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名称</w:t>
            </w:r>
          </w:p>
        </w:tc>
        <w:tc>
          <w:tcPr>
            <w:tcW w:type="dxa" w:w="226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所在章节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 3-1</w:t>
            </w:r>
          </w:p>
        </w:tc>
        <w:tc>
          <w:tcPr>
            <w:tcW w:type="dxa" w:w="532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System Layered Component Diagram</w:t>
            </w:r>
          </w:p>
        </w:tc>
        <w:tc>
          <w:tcPr>
            <w:tcW w:type="dxa" w:w="226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3.1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 3-2</w:t>
            </w:r>
          </w:p>
        </w:tc>
        <w:tc>
          <w:tcPr>
            <w:tcW w:type="dxa" w:w="532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External Interface Topology</w:t>
            </w:r>
          </w:p>
        </w:tc>
        <w:tc>
          <w:tcPr>
            <w:tcW w:type="dxa" w:w="226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3.3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 4-1</w:t>
            </w:r>
          </w:p>
        </w:tc>
        <w:tc>
          <w:tcPr>
            <w:tcW w:type="dxa" w:w="532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Ingestion Framework and Runtime Flow</w:t>
            </w:r>
          </w:p>
        </w:tc>
        <w:tc>
          <w:tcPr>
            <w:tcW w:type="dxa" w:w="226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4.1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 5-1</w:t>
            </w:r>
          </w:p>
        </w:tc>
        <w:tc>
          <w:tcPr>
            <w:tcW w:type="dxa" w:w="532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Data Layering and Subject Domains</w:t>
            </w:r>
          </w:p>
        </w:tc>
        <w:tc>
          <w:tcPr>
            <w:tcW w:type="dxa" w:w="226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5.1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 6-1</w:t>
            </w:r>
          </w:p>
        </w:tc>
        <w:tc>
          <w:tcPr>
            <w:tcW w:type="dxa" w:w="532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Data Freshness Tiers and the Day-close Rule</w:t>
            </w:r>
          </w:p>
        </w:tc>
        <w:tc>
          <w:tcPr>
            <w:tcW w:type="dxa" w:w="226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6.2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 7-1</w:t>
            </w:r>
          </w:p>
        </w:tc>
        <w:tc>
          <w:tcPr>
            <w:tcW w:type="dxa" w:w="532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Query Path and Realtime Push Path</w:t>
            </w:r>
          </w:p>
        </w:tc>
        <w:tc>
          <w:tcPr>
            <w:tcW w:type="dxa" w:w="226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7.1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 9-1</w:t>
            </w:r>
          </w:p>
        </w:tc>
        <w:tc>
          <w:tcPr>
            <w:tcW w:type="dxa" w:w="532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Management Console Function Map</w:t>
            </w:r>
          </w:p>
        </w:tc>
        <w:tc>
          <w:tcPr>
            <w:tcW w:type="dxa" w:w="226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9.1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 11-1</w:t>
            </w:r>
          </w:p>
        </w:tc>
        <w:tc>
          <w:tcPr>
            <w:tcW w:type="dxa" w:w="532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High Availability Topology and Failure Behaviour</w:t>
            </w:r>
          </w:p>
        </w:tc>
        <w:tc>
          <w:tcPr>
            <w:tcW w:type="dxa" w:w="226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11.2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 12-1</w:t>
            </w:r>
          </w:p>
        </w:tc>
        <w:tc>
          <w:tcPr>
            <w:tcW w:type="dxa" w:w="532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Physical Placement and Storage Isolation</w:t>
            </w:r>
          </w:p>
        </w:tc>
        <w:tc>
          <w:tcPr>
            <w:tcW w:type="dxa" w:w="226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12.2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color w:val="4B5563"/>
          <w:sz w:val="19"/>
        </w:rPr>
        <w:t>插图使用英文，便于直接用于对外提交物；正文为中文。</w:t>
      </w:r>
    </w:p>
    <w:p>
      <w:r>
        <w:br w:type="page"/>
      </w:r>
    </w:p>
    <w:p>
      <w:pPr>
        <w:pStyle w:val="Heading1"/>
      </w:pPr>
      <w:r>
        <w:t xml:space="preserve">  目  录</w:t>
      </w:r>
    </w:p>
    <w:p>
      <w:r>
        <w:fldChar w:fldCharType="begin"/>
      </w:r>
      <w:r>
        <w:instrText xml:space="preserve">TOC \o "1-2" \h \z \u</w:instrText>
      </w:r>
      <w:r>
        <w:fldChar w:fldCharType="separate"/>
      </w:r>
      <w:r>
        <w:rPr>
          <w:rFonts w:ascii="微软雅黑" w:hAnsi="微软雅黑" w:eastAsia="微软雅黑"/>
          <w:b w:val="0"/>
          <w:sz w:val="21"/>
        </w:rPr>
        <w:t xml:space="preserve">  </w:t>
      </w:r>
      <w:r>
        <w:fldChar w:fldCharType="end"/>
      </w:r>
    </w:p>
    <w:p>
      <w:pPr>
        <w:spacing w:before="0" w:after="80"/>
      </w:pPr>
      <w:r>
        <w:rPr>
          <w:rFonts w:ascii="微软雅黑" w:hAnsi="微软雅黑" w:eastAsia="微软雅黑"/>
          <w:b w:val="0"/>
          <w:color w:val="4B5563"/>
          <w:sz w:val="19"/>
        </w:rPr>
        <w:t>（在 Word 中按 F9 或右键"更新域"生成目录）</w:t>
      </w:r>
    </w:p>
    <w:p>
      <w:r>
        <w:br w:type="page"/>
      </w:r>
    </w:p>
    <w:p>
      <w:pPr>
        <w:pStyle w:val="Heading1"/>
      </w:pPr>
      <w:r>
        <w:t>1  概述</w:t>
      </w:r>
    </w:p>
    <w:p>
      <w:pPr>
        <w:pStyle w:val="Heading2"/>
      </w:pPr>
      <w:r>
        <w:t>1.1  文档目的与读者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本文件是 OSS911 麦加 911 运营中心商业智能与数据仓库子系统的概要设计。它回答三个问题：系统由哪些部分组成、这些部分之间通过什么接口以什么协议连接、以及当某一部分失效时系统的行为是什么。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本文件不回答的问题有两类：一类是数据结构的字段级定义、接口报文格式、SQL 实现与算法细节，这些属于详细设计；另一类是尚未取得外部答复的事项，这些集中列在第 14 章，在答复到位前不写入承诺性表述。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读者包括：我方开发与测试人员、总包商的集成与基础设施团队、DS 与 ICP 的接口对接人员、以及 MOI 的技术评审人员。</w:t>
      </w:r>
    </w:p>
    <w:p>
      <w:pPr>
        <w:pStyle w:val="Heading2"/>
      </w:pPr>
      <w:r>
        <w:t>1.2  系统范围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本子系统覆盖麦加 911 运营中心的数据汇聚、数据仓库、指标口径、报表、仪表板与指挥大屏。麦地那为独立合同，本设计仅做扩展预留（第 13 章），不含其交付内容。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4422"/>
        <w:gridCol w:w="4422"/>
      </w:tblGrid>
      <w:tr>
        <w:trPr>
          <w:tblHeader/>
        </w:trPr>
        <w:tc>
          <w:tcPr>
            <w:tcW w:type="dxa" w:w="442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范围内</w:t>
            </w:r>
          </w:p>
        </w:tc>
        <w:tc>
          <w:tcPr>
            <w:tcW w:type="dxa" w:w="442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范围外</w:t>
            </w:r>
          </w:p>
        </w:tc>
      </w:tr>
      <w:tr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数据接入、数据仓库、指标语义层</w:t>
            </w:r>
          </w:p>
        </w:tc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硬件采购与虚拟化平台建设（提出资源与放置要求）</w:t>
            </w:r>
          </w:p>
        </w:tc>
      </w:tr>
      <w:tr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报表、仪表板、指挥大屏</w:t>
            </w:r>
          </w:p>
        </w:tc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模型的训练与推理（提供 AI 就绪的数据与导出能力）</w:t>
            </w:r>
          </w:p>
        </w:tc>
      </w:tr>
      <w:tr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管理与运维界面</w:t>
            </w:r>
          </w:p>
        </w:tc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话务平台与 CAD 本身的功能</w:t>
            </w:r>
          </w:p>
        </w:tc>
      </w:tr>
      <w:tr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与 CAD、ICP、归档库的数据接口</w:t>
            </w:r>
          </w:p>
        </w:tc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通话录音的生产存储与磁带备份</w:t>
            </w:r>
          </w:p>
        </w:tc>
      </w:tr>
      <w:tr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三套环境（生产 / 测试 / 培训）</w:t>
            </w:r>
          </w:p>
        </w:tc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移动应用（列为后续阶段，见 8.4）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1.3  与 RFP 条款的对应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本设计对应 RFP 第 1.6.2 节「OSS911 Solution Business Intelligence, Database Repository, Dashboards and Reports」共 52 条要求，并受第 1.5.2 节服务水平条款与第 1.6.7 节性能条款约束。主要条款与章节的对应关系如下。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474"/>
        <w:gridCol w:w="4762"/>
        <w:gridCol w:w="2608"/>
      </w:tblGrid>
      <w:tr>
        <w:trPr>
          <w:tblHeader/>
        </w:trPr>
        <w:tc>
          <w:tcPr>
            <w:tcW w:type="dxa" w:w="147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条款</w:t>
            </w:r>
          </w:p>
        </w:tc>
        <w:tc>
          <w:tcPr>
            <w:tcW w:type="dxa" w:w="476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内容要点</w:t>
            </w:r>
          </w:p>
        </w:tc>
        <w:tc>
          <w:tcPr>
            <w:tcW w:type="dxa" w:w="260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本文件章节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1.6.2.3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单一高可用结构化关系型数据库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2.2 · 5.1 · 11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1.6.2.4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实时数据为当日，历史数据为当日之前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6.2 · 6.3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1.6.2.9 / 1.6.2.20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报表参数、数量与类型经与 MOI 的工作坊确定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7.4 · 8.2 · 14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1.6.2.15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可使用通用 SQL 生成简短报表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8.1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1.6.2.17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客户反馈纳入 BI 并构成绩效度量的一部分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3.3 · 8.2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1.6.2.25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每中心四十张自定义报表与二十个仪表板（硬数量）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7.4 · 8.2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1.6.2.29 / 1.6.2.31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警情与告警的 Web 服务、库结构的数据服务、ESB 适配器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7.7 · 3.3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1.6.2.32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交付非加密完整库副本、数据字典与数据模型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5.7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1.6.5.7.5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分析与智能层含实时 KPI、聚集区与热点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8.2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2.7.7.3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合同授予后两个月内提交分步迁移方案（硬期限）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4.6.1 · 14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2.7.9.5 / 2.7.9.11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数据分类政策与 DLP 登记册须经 MOI 批准后方可上生产（前置门）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10.4 · 14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1.6.2.10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数据仓库的建设与数据整合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 · 5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1.6.2.15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面向未来分析与人工智能的数据支撑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5.6 · 7.6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1.5.2.9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服务水平：数据库 99.999%，BI 99.99%，按日考核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11.3 · 11.6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1.5.2.8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服务水平报告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9.3 · 11.6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1.6.7.5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性能：95% 亚秒，峰值 99% 低于 2 秒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7.2 · 12.1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1.6.9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测试环境要求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12.3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1.7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培训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12.3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1.2.1.20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不具备互联网访问条件下的运行与补丁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10.6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1.6.2.7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全部数据库可按一组可配置检索条件检索，供操作员即时调取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3.2.4 · 7.2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1.6.3.1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经 Web 服务集成 MOI 指定来源的资源数据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3.3 · 4.6.2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1.3.8.7.26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以 webhooks、开放 API 与插件式能力与外部 AI 框架及 ML 平台集成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7.6 · 7.7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1.3.8.7.27 / 1.3.8.7.29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自然语言助手与 AI 实时报表生成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3.3 · 7.6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2.7.9.4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对全部数据库与文件周期性自动扫描以识别数据分布与敏感内容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9.1 · 10.4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2.7.10.4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在线一年、离线五年、扩展离线八年的最低保留期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5.5 · 11.5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1.3.2.12.15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信息可通过运行于 iOS 与 / 或 Android 设备的应用访问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8.4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1.4  术语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814"/>
        <w:gridCol w:w="7030"/>
      </w:tblGrid>
      <w:tr>
        <w:trPr>
          <w:tblHeader/>
        </w:trPr>
        <w:tc>
          <w:tcPr>
            <w:tcW w:type="dxa" w:w="181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术语</w:t>
            </w:r>
          </w:p>
        </w:tc>
        <w:tc>
          <w:tcPr>
            <w:tcW w:type="dxa" w:w="7030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含义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CAD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接处警调度系统。现为 Hexagon，新系统为 DS。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ICP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呼叫平台，提供排队、坐席与录音能力。仅提供 REST 接口。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展示库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DS 为对外集成提供的只读数据库，本系统的主要持续数据来源。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归档库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旧系统的历史数据库，一次性迁入后旧系统下线。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水位线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增量拉取的推进位置，可以是时间戳或递增序号。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日切 / 封账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一日统计在次日固定时刻定版，此后不再改动快照。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缓变维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会随时间变化的维度（如坐席所属班组）。本系统按"当时"记录。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映射三态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语义映射的状态：已验证 / 已映射未验证 / 未知。</w:t>
            </w:r>
          </w:p>
        </w:tc>
      </w:tr>
    </w:tbl>
    <w:p>
      <w:pPr>
        <w:spacing w:before="0" w:after="140"/>
      </w:pPr>
    </w:p>
    <w:p>
      <w:r>
        <w:br w:type="page"/>
      </w:r>
    </w:p>
    <w:p>
      <w:pPr>
        <w:pStyle w:val="Heading1"/>
      </w:pPr>
      <w:r>
        <w:t>2  设计原则与关键约束</w:t>
      </w:r>
    </w:p>
    <w:p>
      <w:pPr>
        <w:pStyle w:val="Heading2"/>
      </w:pPr>
      <w:r>
        <w:t>2.1  设计原则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以下六条贯穿全文。后续章节中凡出现"不允许"、"唯一"、"必须"的表述，都可以回溯到这六条之一。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587"/>
        <w:gridCol w:w="4082"/>
        <w:gridCol w:w="3175"/>
      </w:tblGrid>
      <w:tr>
        <w:trPr>
          <w:tblHeader/>
        </w:trPr>
        <w:tc>
          <w:tcPr>
            <w:tcW w:type="dxa" w:w="158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原则</w:t>
            </w:r>
          </w:p>
        </w:tc>
        <w:tc>
          <w:tcPr>
            <w:tcW w:type="dxa" w:w="408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含义</w:t>
            </w:r>
          </w:p>
        </w:tc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违反后的典型后果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单一事实来源</w:t>
            </w:r>
          </w:p>
        </w:tc>
        <w:tc>
          <w:tcPr>
            <w:tcW w:type="dxa" w:w="408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 层是唯一的事实来源，mart 与 ai 均为其投影，不得各自从 raw 另起加工链。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同一个"上季度警情数"出现两个数字，且都能自证。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原样落地，向上重建</w:t>
            </w:r>
          </w:p>
        </w:tc>
        <w:tc>
          <w:tcPr>
            <w:tcW w:type="dxa" w:w="408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 层原样保存源系统送来的内容，永不覆盖、永不修正；所有修正通过重建上层完成。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出现数据争议时无法回答"是送来时就错了，还是我们算错了"。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边界即契约</w:t>
            </w:r>
          </w:p>
        </w:tc>
        <w:tc>
          <w:tcPr>
            <w:tcW w:type="dxa" w:w="408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每一个外部数据源以一份可版本化的接入契约描述，契约字段是配置而非代码。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外部方的每一次变化都变成一次开发任务，且发现时已经出错。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服务层唯一出口</w:t>
            </w:r>
          </w:p>
        </w:tc>
        <w:tc>
          <w:tcPr>
            <w:tcW w:type="dxa" w:w="408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展现层与任何外部系统均不得直连数据库，一律经服务层。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行级权限与审计留痕失效，性能责任无法界定。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可用性由放置决定</w:t>
            </w:r>
          </w:p>
        </w:tc>
        <w:tc>
          <w:tcPr>
            <w:tcW w:type="dxa" w:w="408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虚机规格不产生可用性，主机与存储的隔离方式才产生可用性。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规格达标而单点仍在，按日考核的服务水平第一次故障即失守。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承诺可举证</w:t>
            </w:r>
          </w:p>
        </w:tc>
        <w:tc>
          <w:tcPr>
            <w:tcW w:type="dxa" w:w="408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凡是承诺的指标，必须有独立留存、只增不改的测量数据与事先认可的判定口径。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达标而无法证明，等同于未达标。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2.2  关键约束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下表列出对架构产生实质影响的约束，以及各自的设计后果。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2381"/>
        <w:gridCol w:w="1361"/>
        <w:gridCol w:w="5102"/>
      </w:tblGrid>
      <w:tr>
        <w:trPr>
          <w:tblHeader/>
        </w:trPr>
        <w:tc>
          <w:tcPr>
            <w:tcW w:type="dxa" w:w="238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约束</w:t>
            </w:r>
          </w:p>
        </w:tc>
        <w:tc>
          <w:tcPr>
            <w:tcW w:type="dxa" w:w="136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来源</w:t>
            </w:r>
          </w:p>
        </w:tc>
        <w:tc>
          <w:tcPr>
            <w:tcW w:type="dxa" w:w="510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设计后果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单一高可用结构化关系型数据库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1.6.2.2 · 1.6.2.3（解读）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一个 PostgreSQL 集群实例，内部以 schema 逻辑分层。条文用语为 shall，严于「统一建设」之意；据 MOI 沟通其意图为各应用统一建设同一种数据库、非限制只用一种产品，本设计据此按设计选择处理，该解读不写入投标文件。维持单库的第二条理由（最大事实表千万行级，远未到列存收益区）不受解读影响。列存加速层已预设形态与触发条件，见交接包 DD-31。PostGIS 为 PostgreSQL 扩展而非第二个数据库产品。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数据库 99.999%、BI 99.99%，按日考核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1.5.2.9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每日容差分别为 0.86 秒与 8.64 秒。同步复制、自动切换、数据库层禁止资源超分。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95% 亚秒响应，峰值 99% 低于 2 秒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1.6.7.5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所有查询走分析副本；加工层不在查询路径上；查询 API 带缓存、限流与超时。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实时数据为当日，历史为当日之前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1.6.2.4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三级数据新鲜度与日切封账机制（第 6 章）。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无互联网访问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1.2.1.20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内网镜像源与离线补丁流程；不依赖任何在线服务。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专网无公网可达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现场条件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移动端推送无法经 APNs / FCM 送达，移动应用列为后续阶段（8.4）。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ICP 仅提供 REST 接口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现场条件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话务数据无第二条技术通道，对账只能与话务平台自身报表比对（6.4）。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DS 展示库提供只读基表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与 DS 商定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语义映射在我方 staging 层完成，映射登记表与验证样例为交付物（4.3）。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报表按语言各出一份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与 MOI 商定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不做阿英混排，每份报表模板有阿语版与英语版两套，各自单向排版（7.4）。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每中心四十张自定义报表与二十个仪表板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1.6.2.25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硬数量，为交付量下限。与"复刻现有报表"的关系须在设计阶段书面澄清（7.4 · 8.2 · 14）。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以 Web 服务与数据服务对外提供，并为 ESB 开发适配器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1.6.2.29 · 1.6.2.31.1 · 1.6.2.31.2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对外数据服务是必须交付项而非可选能力；适配器的交付时间取决于 ESB 规格冻结（7.7 · 14）。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可使用通用 SQL 生成简短报表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1.6.2.15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在语义层之外提供受控 SQL 能力：授权角色、只读、分析副本、强制超时与全程审计（8.1）。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数据分类政策与 DLP 登记册须经 MOI 批准后，方可在生产与培训环境实施任何数据库与数据存储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2.7.9.5 · 2.7.9.11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关键路径上的前置门，不是并行工作。批准日期必须早于生产库上线日期（10.4 · 14）。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合同授予后两个月内提交分步数据迁移方案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2.7.7.3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硬期限，且依赖对现有环境的分析已完成（4.6.1 · 14）。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能力由联合体内 AI 包实现，本方仅提供接口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联合体划界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本方交付四向集成接口：IF-37 供数、IF-07 结果回流、IF-38 语义目录与结构化查询、IF-39 叙述块生成；AI 结果经接入契约进 raw 并落 core.fact_ai_inference，不写入业务事实表；AI 调用一律异步或可降级，其故障不计入本方服务水平（3.3 · 5.1 · 7.6）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GIS 由沙特本地厂商 HudHud 提供，地图服务本地部署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联合体划界 + 现场条件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本方不建底图、瓦片与地图应用；空间聚合（网格化、点在面内判定、热点强度）留在本方 mart 层并启用 PostGIS；组件与瓦片须可离线部署以满足无外网要求；地图故障不计入本方服务水平（5.1 · 8.2）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系统设 DMZ 区，含 internet 出口与短信、邮件网关，均由总包商运维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现场条件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告警与报表分发合并为统一投递服务，两类内容三条通道；网关故障不计入本方服务水平，但本方须留存投递交接点证据；NW-03 仍成立——DMZ 为入向代理，本方虚机无互联网出向访问（7.4 · 9.3 · 11.6）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移动端经 internet 与 DMZ 反向代理访问，不在专网内直连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现场条件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独立的移动端对外面 IF-40：独立令牌受众与限流、Keycloak 按端点白名单经代理暴露、独立审计标记；移动端仅服务聚合指标，记录级接口在该受众下一律拒绝；移动端链路含公网段，不适用 1.6.7.5 的亚秒承诺（8.4 · 10.2 · 12.2）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调度员与主管来自不同派驻部门，须按部门切分可见数据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现场条件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行级安全本期启用（原为预留）：调度员与主管按派驻部门过滤，接警员与管理员不受限；部门归属以 AD 为目标、M-06 本地映射表为过渡；编码以 CAD 处置单位编码为权威，映射不上时拒绝放行而非静默返回空（10.2 · 10.3）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在线保留一年、离线五年、扩展离线八年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2.7.10.4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原「业务数据在线保留八年」为口径误读。改为三层：热层近一年承担亚秒查询，温层为一年以上的全部历史、走历史查询路径，冷层按备份分层执行（5.5 · 7.2）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2.3  业务规模基线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本设计的容量与性能取值以下表为基线。需要说明的是，本系统的设计驱动因素不是数据量——八年明细数据加索引约 1.3 TB，对 PostgreSQL 而言并不构成挑战。真正的驱动因素是按日考核的可用性、外部接口的稳定性与数据治理的可证明性。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928"/>
        <w:gridCol w:w="2041"/>
        <w:gridCol w:w="2041"/>
        <w:gridCol w:w="2835"/>
      </w:tblGrid>
      <w:tr>
        <w:trPr>
          <w:tblHeader/>
        </w:trPr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项目</w:t>
            </w:r>
          </w:p>
        </w:tc>
        <w:tc>
          <w:tcPr>
            <w:tcW w:type="dxa" w:w="204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平常</w:t>
            </w:r>
          </w:p>
        </w:tc>
        <w:tc>
          <w:tcPr>
            <w:tcW w:type="dxa" w:w="204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朝觐期间</w:t>
            </w:r>
          </w:p>
        </w:tc>
        <w:tc>
          <w:tcPr>
            <w:tcW w:type="dxa" w:w="28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累计（迁移自 2016 年起，约十一年）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日呼叫量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数千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最高 50,000</w:t>
            </w:r>
          </w:p>
        </w:tc>
        <w:tc>
          <w:tcPr>
            <w:tcW w:type="dxa" w:w="28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1,600 万次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日警情量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30% 呼叫形成派单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同比例</w:t>
            </w:r>
          </w:p>
        </w:tc>
        <w:tc>
          <w:tcPr>
            <w:tcW w:type="dxa" w:w="28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1,610 万起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在线坐席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30 人一班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 120 + 调度 120</w:t>
            </w:r>
          </w:p>
        </w:tc>
        <w:tc>
          <w:tcPr>
            <w:tcW w:type="dxa" w:w="28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系统用户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数十人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数十人</w:t>
            </w:r>
          </w:p>
        </w:tc>
        <w:tc>
          <w:tcPr>
            <w:tcW w:type="dxa" w:w="28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仓库明细数据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8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690 ~ 1,010 GB（含索引约 1.8 TB）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现场媒体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待确认，见 14 章 D-01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8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 TB ~ 50 TB（相差五倍；为上线后累积估算，历史迁移是否含媒体待确认）</w:t>
            </w:r>
          </w:p>
        </w:tc>
      </w:tr>
    </w:tbl>
    <w:p>
      <w:pPr>
        <w:spacing w:before="0" w:after="1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1D4ED8"/>
          <w:left w:val="single" w:sz="4" w:space="0" w:color="1D4ED8"/>
          <w:bottom w:val="single" w:sz="4" w:space="0" w:color="1D4ED8"/>
          <w:right w:val="single" w:sz="4" w:space="0" w:color="1D4ED8"/>
          <w:insideH w:val="single" w:sz="4" w:space="0" w:color="1D4ED8"/>
          <w:insideV w:val="single" w:sz="4" w:space="0" w:color="1D4ED8"/>
        </w:tblBorders>
      </w:tblPr>
      <w:tblGrid>
        <w:gridCol w:w="9298"/>
      </w:tblGrid>
      <w:tr>
        <w:tc>
          <w:tcPr>
            <w:tcW w:type="dxa" w:w="9298"/>
            <w:shd w:val="clear" w:fill="F1F5F9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1D4ED8"/>
                <w:sz w:val="20"/>
              </w:rPr>
              <w:t>关于录音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通话录音由话务平台产生并由生产系统按磁带方式备份，不属于本系统的存储成本。本系统只保存录音的元数据与访问引用，不复制录音本体。若将来 AI 侧需要录音用于训练，通过第 7.6 节的导出接口按批次授权提取，不改变本系统的存储设计。</w:t>
            </w:r>
          </w:p>
        </w:tc>
      </w:tr>
    </w:tbl>
    <w:p>
      <w:pPr>
        <w:spacing w:before="0" w:after="160"/>
      </w:pPr>
    </w:p>
    <w:p>
      <w:r>
        <w:br w:type="page"/>
      </w:r>
    </w:p>
    <w:p>
      <w:pPr>
        <w:pStyle w:val="Heading1"/>
      </w:pPr>
      <w:r>
        <w:t>3  系统框架设计</w:t>
      </w:r>
    </w:p>
    <w:p>
      <w:pPr>
        <w:pStyle w:val="Heading2"/>
      </w:pPr>
      <w:r>
        <w:t>3.1  分层与边界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系统分为六层，其中管理与运维层横切其余各层。系统边界画在接入层的连接器上：连接器之外的一切属于源系统，不是本系统的组件，只是本系统接口的对端。这条边界同时是责任边界。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202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D-Fig3-1-System-Layered-Component-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202899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rFonts w:ascii="微软雅黑" w:hAnsi="微软雅黑" w:eastAsia="微软雅黑"/>
          <w:b w:val="0"/>
          <w:color w:val="4B5563"/>
          <w:sz w:val="17"/>
        </w:rPr>
        <w:t>图 3-1  System Layered Component Diagram   系统分层组件图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图中有三处需要特别说明。</w:t>
      </w:r>
    </w:p>
    <w:p>
      <w:pPr>
        <w:pStyle w:val="ListNumber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查询路径不经过加工层。加工层只负责把数据算好写回存储层，它不在任何一次用户查询的链路上。存储层与加工层之间是双向的读写关系，其余层间关系均为单向。</w:t>
      </w:r>
    </w:p>
    <w:p>
      <w:pPr>
        <w:pStyle w:val="ListNumber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mart 与 ai 是从 core 并列分叉的两条投影，不是串联关系，也不是两条独立的加工链。</w:t>
      </w:r>
    </w:p>
    <w:p>
      <w:pPr>
        <w:pStyle w:val="ListNumber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虚线表示系统边界之外：L0 整层、以及对外数据服务与 AI 包等外部消费方。移动应用本期交付，不再以虚线表示。</w:t>
      </w:r>
    </w:p>
    <w:p>
      <w:pPr>
        <w:pStyle w:val="Heading2"/>
      </w:pPr>
      <w:r>
        <w:t>3.2  各层组件与能力</w:t>
      </w:r>
    </w:p>
    <w:p>
      <w:pPr>
        <w:pStyle w:val="Heading3"/>
      </w:pPr>
      <w:r>
        <w:t>3.2.1  L1 接入层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2041"/>
        <w:gridCol w:w="6803"/>
      </w:tblGrid>
      <w:tr>
        <w:trPr>
          <w:tblHeader/>
        </w:trPr>
        <w:tc>
          <w:tcPr>
            <w:tcW w:type="dxa" w:w="204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组件</w:t>
            </w:r>
          </w:p>
        </w:tc>
        <w:tc>
          <w:tcPr>
            <w:tcW w:type="dxa" w:w="680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能力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连接器运行时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四类协议适配：pg_read、rest_api、kafka_consume、file_drop。负责分页、限流、重试、断点续传、批事务提交。不含任何业务语义。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接入契约注册表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每个数据源一份契约：水位线、幂等键、软删除、迟到窗口、调度、期望、契约版本。Git 为权威，库内副本只读。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水位与运行状态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每源当前水位；每次运行的 run_id、起止水位、行数、结果。重放的依据。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期望校验与隔离区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批级校验（非空、唯一、类型、值域）。不合格整批隔离，不进 raw，并告警。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归档迁移工具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一次性全量迁移，含分批、校验与对账报告。上线并完成对账后停用。</w:t>
            </w:r>
          </w:p>
        </w:tc>
      </w:tr>
    </w:tbl>
    <w:p>
      <w:pPr>
        <w:spacing w:before="0" w:after="140"/>
      </w:pPr>
    </w:p>
    <w:p>
      <w:pPr>
        <w:pStyle w:val="Heading3"/>
      </w:pPr>
      <w:r>
        <w:t>3.2.2  L2 存储层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2041"/>
        <w:gridCol w:w="6803"/>
      </w:tblGrid>
      <w:tr>
        <w:trPr>
          <w:tblHeader/>
        </w:trPr>
        <w:tc>
          <w:tcPr>
            <w:tcW w:type="dxa" w:w="204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组件</w:t>
            </w:r>
          </w:p>
        </w:tc>
        <w:tc>
          <w:tcPr>
            <w:tcW w:type="dxa" w:w="680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能力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PostgreSQL 集群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单一实例，七个 schema：raw、staging、core、mart、ai、meta、audit。主库承担写入，同步备库承担零丢失，分析副本承担全部查询。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集群高可用组件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Patroni 为角色变更的唯一权威；etcd 三成员提供仲裁；HAProxy 与 pgBouncer 提供读写分流与连接池。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对象存储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现场媒体、报表产物、AI 训练导出。S3 兼容接口，仅由服务层访问。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备份仓库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全量、增量与 WAL 归档。存储介质独立于数据库数据存储。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空间扩展（PostGIS）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坐标系转换（ST_Transform）、点在面内判定、网格与热点聚合。为 PostgreSQL 的扩展而非第二个数据库产品，不违反 2.2 的单一关系库约束。底图、瓦片与地图应用由 HudHud 提供，不在本系统内。</w:t>
            </w:r>
          </w:p>
        </w:tc>
      </w:tr>
    </w:tbl>
    <w:p>
      <w:pPr>
        <w:spacing w:before="0" w:after="140"/>
      </w:pPr>
    </w:p>
    <w:p>
      <w:pPr>
        <w:pStyle w:val="Heading3"/>
      </w:pPr>
      <w:r>
        <w:t>3.2.3  L3 加工层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2041"/>
        <w:gridCol w:w="6803"/>
      </w:tblGrid>
      <w:tr>
        <w:trPr>
          <w:tblHeader/>
        </w:trPr>
        <w:tc>
          <w:tcPr>
            <w:tcW w:type="dxa" w:w="204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组件</w:t>
            </w:r>
          </w:p>
        </w:tc>
        <w:tc>
          <w:tcPr>
            <w:tcW w:type="dxa" w:w="680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能力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批量编排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调度、依赖、重试、补数、SLA 告警。DAG 由接入契约注册表动态生成。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模型构建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staging 至 core 至 mart / ai 的模型物化、增量策略、血缘与测试。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准实时聚合器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分钟级按日桶重算，仅重算受影响的日期分区。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实时状态服务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短周期拉取源系统的当前状态，在内存中维护"此刻"视图。不落主库，不参与统计。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数据质量与对账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规则化校验、跨系统对账、日结封账与修正标记、值剖析。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敏感数据发现扫描器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对数据库与对象存储（现场媒体、报表产物、AI 导出）周期性扫描，识别数据分布与敏感内容。扫描周期可配置。结果只存字段名、类型判定与置信度，不存样例值；使用独立服务账号；扫描行为写审计。结果驱动分类打标、字段可见性默认值与脱敏规则对象清单。</w:t>
            </w:r>
          </w:p>
        </w:tc>
      </w:tr>
    </w:tbl>
    <w:p>
      <w:pPr>
        <w:spacing w:before="0" w:after="140"/>
      </w:pPr>
    </w:p>
    <w:p>
      <w:pPr>
        <w:pStyle w:val="Heading3"/>
      </w:pPr>
      <w:r>
        <w:t>3.2.4  L4 服务层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服务层是本系统对外访问的唯一出口。展现层与任何外部系统均不得直连数据库；任何提出直连需求的场景都必须走变更评审。这条约束若不成立，第 10 章的行级权限预留与审计留痕将全部失去意义。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2041"/>
        <w:gridCol w:w="6803"/>
      </w:tblGrid>
      <w:tr>
        <w:trPr>
          <w:tblHeader/>
        </w:trPr>
        <w:tc>
          <w:tcPr>
            <w:tcW w:type="dxa" w:w="204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组件</w:t>
            </w:r>
          </w:p>
        </w:tc>
        <w:tc>
          <w:tcPr>
            <w:tcW w:type="dxa" w:w="680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能力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语义与指标服务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指标注册表：定义、口径、维度、粒度、权威来源。全项目指标定义的唯一事实来源。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 API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按指标、维度、过滤条件与时间粒度查询。分页、缓存、超时、并发限流。响应携带四个元字段（见 7.2）。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实时推送网关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WebSocket 订阅与推送。订阅主题按角色与数据权限过滤，断线重连带补偿。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报表渲染服务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按模板生成 PDF、Word 与 Excel。阿语与英语各出一份，不做混排。异步任务，产物入对象存储。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投递服务（报表与告警）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统一投递抽象：两类内容（报表产物、告警消息）× 三条通道（邮件网关、短信网关、门户内消息）。含计划触发、失败重试、投递回执与交接点留痕（投递时间、目标网关、返回码、重试次数，只增不改）。两个网关由总包商提供，其故障不计入本方服务水平。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媒体服务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对象存储的受控访问，签发短时效凭证，不向客户端暴露存储地址。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数据服务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宽表查询、批量导出、媒体与结构化数据的关联索引、导出配额与审计（IF-37）。另提供语义目录与结构化查询（IF-38）供 AI 包的自然语言助手使用，以及叙述块生成的调用出口（IF-39）。AI 包只生成结构化查询体，不生成 SQL。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身份与授权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令牌校验、角色解析。两级数据权限下推：字段级可见性矩阵（角色 × 字段，服务端裁列，缓存键含白名单指纹）与行级部门过滤（调度员与主管按派驻部门，接警员与管理员不受限）。两者在全部出口路径生效，含报表订阅分发等以系统身份运行的异步任务。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告警规则与评估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按指标、阈值、时间窗与作用域定义规则，挂在准实时聚合器之后，不在查询路径上。含去重与静默。告警事件落 core，因而可被统计并经 IF-33 对外提供。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记录检索服务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按受配置的有限条件集检索记录，每条条件对应索引；时间范围必填且有最大跨度上限；结果集有硬上限，超限要求收窄条件；一律走分析副本；归档迁移数据纳入同一检索面；移动端受众一律拒绝。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MCP 服务器（可选增补）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在查询 API 与语义目录之上封装的只读工具与资源，供外部 AI 框架与 ML 平台集成（RFP 1.3.8.7.26）。走同一服务层、鉴权、审计与权限下推，返回携带 6.5 的四个元字段。锁定规范版本，不跟随上游演进。非强制交付项。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3.3  接口清单与协议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系统边界上的每一个接口都有编号、协议、方向与频率。入向接口一律终结于接入层，出向接口一律发自服务层；没有例外通道。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3936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D-Fig3-2-External-Interface-Topolog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393673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rFonts w:ascii="微软雅黑" w:hAnsi="微软雅黑" w:eastAsia="微软雅黑"/>
          <w:b w:val="0"/>
          <w:color w:val="4B5563"/>
          <w:sz w:val="17"/>
        </w:rPr>
        <w:t>图 3-2  External Interface Topology   外部接口拓扑图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964"/>
        <w:gridCol w:w="2608"/>
        <w:gridCol w:w="1928"/>
        <w:gridCol w:w="2608"/>
        <w:gridCol w:w="1134"/>
      </w:tblGrid>
      <w:tr>
        <w:trPr>
          <w:tblHeader/>
        </w:trPr>
        <w:tc>
          <w:tcPr>
            <w:tcW w:type="dxa" w:w="96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260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链路</w:t>
            </w:r>
          </w:p>
        </w:tc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协议</w:t>
            </w:r>
          </w:p>
        </w:tc>
        <w:tc>
          <w:tcPr>
            <w:tcW w:type="dxa" w:w="260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方式与频率</w:t>
            </w:r>
          </w:p>
        </w:tc>
        <w:tc>
          <w:tcPr>
            <w:tcW w:type="dxa" w:w="113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状态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IF-01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归档库 至 迁移工具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PostgreSQL wire / TLS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只读账号，一次性全量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待定范围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IF-02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DS 展示库 至 pg_read 连接器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PostgreSQL wire / TLS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只读账号读基表，水位线增量，分钟级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已商定方式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IF-03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ICP 至 rest_api 连接器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 / REST-JSON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轮询，2 至 10 秒；鉴权方式待定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待接口文档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IF-04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外部 Kafka 至 kafka_consume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Kafka / SASL+TLS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消费者组；预留，上线时不启用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预留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IF-05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文件投递 至 file_drop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SFTP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到达即处理，带清单与校验和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设计完成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IF-06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客户反馈来源 至 接入层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待定（REST 或文件投递）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按反馈系统的形态确定；采集方与数据形态待确认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待确认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IF-07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包 至 接入层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 / REST-JSON 或 file_drop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推断结果回流，经标准接入契约进 raw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必须交付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IF-30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BI 门户与仪表板 至 用户浏览器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 / REST-JSON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交互式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设计完成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IF-31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指挥大屏 至 服务层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 + WSS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推送，2 至 10 秒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设计完成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IF-32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移动应用 至 服务层（经 DMZ 反向代理）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 + WSS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后续阶段，不在本次范围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已并入 IF-40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IF-33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对外数据服务与 ESB 适配器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 / REST-JSON + ESB 适配器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警情与告警的 Web 服务；库结构的数据服务；按 ESB 规格实现的适配器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必须交付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IF-34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投递服务：报表与告警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SMTP 邮件网关 / 短信网关 / 门户内消息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按订阅计划与告警规则触发，含重试与回执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必须交付；两网关由总包商提供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IF-35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身份服务 至 MOI 目录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LDAPS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按需查询与同步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设计完成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IF-36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全部虚机 至 时钟源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NTP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与 CAD、话务平台同源，漂移不超过 50 毫秒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待确认时钟源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IF-37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服务层 至 AI 包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 / REST-JSON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数据服务供数：宽表点查、批量导出、媒体关联索引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必须交付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IF-38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服务层 至 AI 包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 / REST-JSON（MCP 为第二种绑定）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语义目录与结构化查询；AI 包不生成 SQL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必须交付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IF-39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服务层 至 AI 包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 / REST-JSON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报表叙述块生成调用；异步或可降级，超时即跳过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必须交付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IF-40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移动应用 至 服务层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HTTPS，经 DMZ 反向代理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只读聚合看板；独立令牌受众、有效期与限流；记录级接口拒绝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本期交付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IF-41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展现层 至 HudHud 地图服务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HTTPS（内网）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嵌入式组件与底图瓦片，本地部署、可离线加载；本方提供聚合结果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设计完成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color w:val="4B5563"/>
          <w:sz w:val="20"/>
        </w:rPr>
        <w:t>系统内部的组件间接口（连接器至 raw、服务层至分析副本、实时服务实例间同步等）不构成外部承诺，其协议在下表列出，报文与调用细节在详细设计中定义。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964"/>
        <w:gridCol w:w="4139"/>
        <w:gridCol w:w="3969"/>
      </w:tblGrid>
      <w:tr>
        <w:trPr>
          <w:tblHeader/>
        </w:trPr>
        <w:tc>
          <w:tcPr>
            <w:tcW w:type="dxa" w:w="96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413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链路</w:t>
            </w:r>
          </w:p>
        </w:tc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协议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IF-10</w:t>
            </w:r>
          </w:p>
        </w:tc>
        <w:tc>
          <w:tcPr>
            <w:tcW w:type="dxa" w:w="413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连接器 至 raw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libpq，批事务提交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IF-11</w:t>
            </w:r>
          </w:p>
        </w:tc>
        <w:tc>
          <w:tcPr>
            <w:tcW w:type="dxa" w:w="413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契约注册表 至 连接器与编排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部署时文件同步，库内只读副本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IF-12</w:t>
            </w:r>
          </w:p>
        </w:tc>
        <w:tc>
          <w:tcPr>
            <w:tcW w:type="dxa" w:w="413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批量编排 至 模型构建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进程调用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IF-14</w:t>
            </w:r>
          </w:p>
        </w:tc>
        <w:tc>
          <w:tcPr>
            <w:tcW w:type="dxa" w:w="413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实时状态服务 至 源系统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复用 IF-02 与 IF-03，独立连接池与配额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IF-15</w:t>
            </w:r>
          </w:p>
        </w:tc>
        <w:tc>
          <w:tcPr>
            <w:tcW w:type="dxa" w:w="413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实时服务实例间同步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PostgreSQL LISTEN / NOTIFY，不引入新中间件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IF-16</w:t>
            </w:r>
          </w:p>
        </w:tc>
        <w:tc>
          <w:tcPr>
            <w:tcW w:type="dxa" w:w="413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服务层 至 数据库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libpq 经 pgBouncer，只读走分析副本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IF-18</w:t>
            </w:r>
          </w:p>
        </w:tc>
        <w:tc>
          <w:tcPr>
            <w:tcW w:type="dxa" w:w="413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服务层 至 对象存储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S3 over HTTPS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IF-19</w:t>
            </w:r>
          </w:p>
        </w:tc>
        <w:tc>
          <w:tcPr>
            <w:tcW w:type="dxa" w:w="413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服务层 至 身份服务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OIDC / JWT 校验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IF-20</w:t>
            </w:r>
          </w:p>
        </w:tc>
        <w:tc>
          <w:tcPr>
            <w:tcW w:type="dxa" w:w="413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全组件 至 监控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 指标端点，拉取式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3.4  用户界面与管理界面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964"/>
        <w:gridCol w:w="1701"/>
        <w:gridCol w:w="6236"/>
      </w:tblGrid>
      <w:tr>
        <w:trPr>
          <w:tblHeader/>
        </w:trPr>
        <w:tc>
          <w:tcPr>
            <w:tcW w:type="dxa" w:w="96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界面</w:t>
            </w:r>
          </w:p>
        </w:tc>
        <w:tc>
          <w:tcPr>
            <w:tcW w:type="dxa" w:w="6236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U-01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BI 门户</w:t>
            </w:r>
          </w:p>
        </w:tc>
        <w:tc>
          <w:tcPr>
            <w:tcW w:type="dxa" w:w="623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自建外壳，Superset 作为后端查询引擎不直接暴露给用户。报表目录、参数化查询、自助分析、导出、订阅管理。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U-02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仪表板</w:t>
            </w:r>
          </w:p>
        </w:tc>
        <w:tc>
          <w:tcPr>
            <w:tcW w:type="dxa" w:w="623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门户内，20 个预置加自定义（RFP 1.6.2.25）。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U-03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指挥大屏</w:t>
            </w:r>
          </w:p>
        </w:tc>
        <w:tc>
          <w:tcPr>
            <w:tcW w:type="dxa" w:w="623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独立 Web 应用，长连接，无人值守自恢复。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U-04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移动应用</w:t>
            </w:r>
          </w:p>
        </w:tc>
        <w:tc>
          <w:tcPr>
            <w:tcW w:type="dxa" w:w="623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本期交付。原生薄壳内嵌移动专用布局，经 MOI 既有 MDM 分发；仅主管与管理员；只读，仅封账聚合指标，无记录级下钻、媒体访问与导出。见 8.4。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color w:val="4B5563"/>
          <w:sz w:val="20"/>
        </w:rPr>
        <w:t>管理界面共十一个，见第 9 章与图 9-1。</w:t>
      </w:r>
    </w:p>
    <w:p>
      <w:r>
        <w:br w:type="page"/>
      </w:r>
    </w:p>
    <w:p>
      <w:pPr>
        <w:pStyle w:val="Heading1"/>
      </w:pPr>
      <w:r>
        <w:t>4  数据接入框架</w:t>
      </w:r>
    </w:p>
    <w:p>
      <w:pPr>
        <w:pStyle w:val="Heading2"/>
      </w:pPr>
      <w:r>
        <w:t>4.1  三层切分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接入框架的设计目标是：外部方的答复尚未到位时，设计也能定稿；答复到位后，改动落在配置而不是代码上。为此把接入拆成三层，界线是"配置管取数的机械动作，代码与 SQL 管语义"。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8912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D-Fig4-1-Ingestion-Framewo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91272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rFonts w:ascii="微软雅黑" w:hAnsi="微软雅黑" w:eastAsia="微软雅黑"/>
          <w:b w:val="0"/>
          <w:color w:val="4B5563"/>
          <w:sz w:val="17"/>
        </w:rPr>
        <w:t>图 4-1  Ingestion Framework and Runtime Flow   接入框架与运行时流程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新增一个数据源的工作量是：一段 YAML 契约加一个 staging 模型，不写新的 DAG 代码。批量编排的 DAG 由注册表动态生成。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45309"/>
          <w:left w:val="single" w:sz="4" w:space="0" w:color="B45309"/>
          <w:bottom w:val="single" w:sz="4" w:space="0" w:color="B45309"/>
          <w:right w:val="single" w:sz="4" w:space="0" w:color="B45309"/>
          <w:insideH w:val="single" w:sz="4" w:space="0" w:color="B45309"/>
          <w:insideV w:val="single" w:sz="4" w:space="0" w:color="B45309"/>
        </w:tblBorders>
      </w:tblPr>
      <w:tblGrid>
        <w:gridCol w:w="9298"/>
      </w:tblGrid>
      <w:tr>
        <w:tc>
          <w:tcPr>
            <w:tcW w:type="dxa" w:w="9298"/>
            <w:shd w:val="clear" w:fill="FDF4E7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45309"/>
                <w:sz w:val="20"/>
              </w:rPr>
              <w:t>一条刻意的限制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契约中不引入表达式或转换语言。一旦允许在 YAML 里写 upper(trim(col)) 这样的内容，配置文件就会逐步变成一门没有测试、没有调试器、也没有人愿意维护的编程语言。所有转换写在 dbt 模型里，接受评审与测试。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t>4.2  接入契约字段规范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928"/>
        <w:gridCol w:w="3175"/>
        <w:gridCol w:w="3742"/>
      </w:tblGrid>
      <w:tr>
        <w:trPr>
          <w:tblHeader/>
        </w:trPr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字段</w:t>
            </w:r>
          </w:p>
        </w:tc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含义</w:t>
            </w:r>
          </w:p>
        </w:tc>
        <w:tc>
          <w:tcPr>
            <w:tcW w:type="dxa" w:w="374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取值 / 默认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source_id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数据源标识，全局唯一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如 ds_cad.incident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connector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连接器类型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pg_read / rest_api / kafka_consume / file_drop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target_raw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 层目标表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如 raw.ds_cad__incident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watermark.field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水位线字段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源系统字段名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watermark.type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水位线类型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timestamptz / sequence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watermark.lookback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回看窗口，用于兜底提交乱序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 15 分钟；type 为 sequence 时可为 0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idempotency_key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幂等键，用于去重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字段列表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soft_delete_field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软删除标志字段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无则须由变更日志表替代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late_window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迟到数据接受窗口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 7 天，超出进修正表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schedule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调度周期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cron 表达式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batch_size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单批行数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 5000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expectations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批级校验规则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not_null / unique / domain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on_violation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校验不通过时的动作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quarantine（默认）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contract_version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契约版本号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整数，随契约变更递增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enabled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启停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true / false，可运行时热调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注册表的权威副本在 Git，库内表为部署时同步的只读缓存。结构性字段（水位线、幂等键、目标表、契约版本）的变更须走发布流程；运行参数（启停、调度间隔、批大小、限流）可运行时热调，但带审计留痕。这样区分的原因很实际：源系统压力突增时需要立即降低轮询频率，这不能等发布窗口；而水位线字段的更换如果能在生产界面上点一下完成，出了问题就无法查清当时的规则。</w:t>
      </w:r>
    </w:p>
    <w:p>
      <w:pPr>
        <w:pStyle w:val="Heading2"/>
      </w:pPr>
      <w:r>
        <w:t>4.3  语义映射与三态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DS 展示库的字段名多为缩写，数据字典可以取得，但并非每个取值的含义都清楚。本设计不要求字典先完成再开工，而是把"以后再澄清"落成一套可管理的机制。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814"/>
        <w:gridCol w:w="4082"/>
        <w:gridCol w:w="2948"/>
      </w:tblGrid>
      <w:tr>
        <w:trPr>
          <w:tblHeader/>
        </w:trPr>
        <w:tc>
          <w:tcPr>
            <w:tcW w:type="dxa" w:w="181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状态</w:t>
            </w:r>
          </w:p>
        </w:tc>
        <w:tc>
          <w:tcPr>
            <w:tcW w:type="dxa" w:w="408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含义</w:t>
            </w:r>
          </w:p>
        </w:tc>
        <w:tc>
          <w:tcPr>
            <w:tcW w:type="dxa" w:w="294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允许的使用方式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verified</w:t>
            </w:r>
          </w:p>
        </w:tc>
        <w:tc>
          <w:tcPr>
            <w:tcW w:type="dxa" w:w="408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已验证：有验证样例，用一起真实警情从源系统界面追到我方计算结果，两边一致。</w:t>
            </w:r>
          </w:p>
        </w:tc>
        <w:tc>
          <w:tcPr>
            <w:tcW w:type="dxa" w:w="294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可用于任何对外发布的指标。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mapped_unverified</w:t>
            </w:r>
          </w:p>
        </w:tc>
        <w:tc>
          <w:tcPr>
            <w:tcW w:type="dxa" w:w="408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已映射未验证：映射已写，含义基于推断。</w:t>
            </w:r>
          </w:p>
        </w:tc>
        <w:tc>
          <w:tcPr>
            <w:tcW w:type="dxa" w:w="294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可用于探索性分析；进入对外指标时该指标必须带标记。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unknown</w:t>
            </w:r>
          </w:p>
        </w:tc>
        <w:tc>
          <w:tcPr>
            <w:tcW w:type="dxa" w:w="408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未知：不知道含义，未被任何模型使用。</w:t>
            </w:r>
          </w:p>
        </w:tc>
        <w:tc>
          <w:tcPr>
            <w:tcW w:type="dxa" w:w="294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不使用。但数据已在 raw 层，将来澄清后可重算全部历史。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每个在范围内的列都必须有一行登记，结构漂移检测发现的新列默认落 unknown。空白与未知的区别在于：空白会被遗忘，未知会被统计并排期。</w:t>
      </w:r>
    </w:p>
    <w:p>
      <w:pPr>
        <w:pStyle w:val="Heading3"/>
      </w:pPr>
      <w:r>
        <w:t>4.3.1  值剖析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对所有代码与枚举字段持续做取值剖析，记录不同取值、各自占比、首次出现与最近出现时间。它同时解决三个问题：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把"字典没写清楚"变成有限且可排序的问题清单。向 DS 提问的方式不是"这一列是什么意思"，而是"这一列有 7 个取值，A、B、C 合计占 98%，请确认这三个的含义，其余四个各自占比不足 0.3%，可以后议"。这种问法拿到答复的概率高得多。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发现后来新增的代码值。第三年 CAD 增加一个新的警情类别，一次性字典永远发现不了，剖析器在当天就会报出来。这是长期最容易吃亏的地方。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为"先处理需要用的"提供优先级依据。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未映射的取值不得静默归入"其他"，而是落到显式的未映射桶，在 M-03 界面可见，日占比超过阈值（建议 0.5%）即告警。把未知悄悄折进"Other"，是报表变得安静地错掉的最常见原因。</w:t>
      </w:r>
    </w:p>
    <w:p>
      <w:pPr>
        <w:pStyle w:val="Heading2"/>
      </w:pPr>
      <w:r>
        <w:t>4.4  结构漂移检测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每次拉取前抓取源库的结构快照并与上次比对。结构发生变化时隔离该批数据并告警，绝不带着未知变更继续向下计算。实现成本很低，但它消灭的是最难排查的一类故障：外部系统升级后，数据仍在流动，数字却已经不对。</w:t>
      </w:r>
    </w:p>
    <w:p>
      <w:pPr>
        <w:pStyle w:val="Heading2"/>
      </w:pPr>
      <w:r>
        <w:t>4.5  重放与补数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水位线与运行状态独立于契约存储，因此可以把某个数据源的水位重置到指定位置重新拉取。raw 层原样保留且不被覆盖，配合 run_id 与 contract_version 打标，可以准确回答"这条数据是哪一次运行、按第几版契约、从哪个水位进来的"。口径变更、映射修正与迟到数据的处理，全部通过重建上层完成，不修改 raw。</w:t>
      </w:r>
    </w:p>
    <w:p>
      <w:pPr>
        <w:pStyle w:val="Heading2"/>
      </w:pPr>
      <w:r>
        <w:t>4.6  各数据源的接入方式</w:t>
      </w:r>
    </w:p>
    <w:p>
      <w:pPr>
        <w:pStyle w:val="Heading3"/>
      </w:pPr>
      <w:r>
        <w:t>4.6.1  归档库（IF-01）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旧系统的历史数据一次性全量迁入，迁移完成并通过对账后旧系统下线，本接口随之停用。迁移的起始年份与对账口径待实施阶段确认（见第 14 章 A3）。需要说明的是，迁移范围不影响本设计——迁移工具的设计与迁入多少年无关，只影响容量估算与实施排期。</w:t>
      </w:r>
    </w:p>
    <w:p>
      <w:pPr>
        <w:pStyle w:val="Heading3"/>
      </w:pPr>
      <w:r>
        <w:t>4.6.2  DS CAD 展示库（IF-02）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采用只读账号访问展示库基表、按水位线增量拉取、原样落 raw 的方式，语义映射在我方 staging 层完成。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曾考虑的另一方案是由我方定义表结构、DS 按此结构写入。该方案未被采用，原因是：语义映射的工作量在两个方案里相同，区别只在于由谁完成、在哪一侧、出错后能否被检验和修复。由 DS 写入意味着映射逻辑在其程序内部，我方无法查看、无法测试、无法修复，却要承担结果的正确性责任。更重要的是，该方案会使 raw 层不复存在——外部方只写入我方定义的那些列，未被定义的字段根本不会进来，将来理解了也没有历史数据可补；同时也失去了在数据争议中自证的能力。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本接口需要 DS 提供的输入，列在第 14 章依赖项中：数据字典（含代码值含义）、水位线字段与是否存在递增序号、软删除或变更日志的表达方式、可重放窗口、结构变更的通知承诺、只读账号与负载约束。</w:t>
      </w:r>
    </w:p>
    <w:p>
      <w:pPr>
        <w:pStyle w:val="Heading3"/>
      </w:pPr>
      <w:r>
        <w:t>4.6.3  ICP 话务平台（IF-03）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ICP 仅提供 REST 接口，不提供数据库复制能力。接口文档尚未取得，因此本设计按两种形态分别定义，接口文档到位后选择其一落地，不需要返工。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2041"/>
        <w:gridCol w:w="3628"/>
        <w:gridCol w:w="3175"/>
      </w:tblGrid>
      <w:tr>
        <w:trPr>
          <w:tblHeader/>
        </w:trPr>
        <w:tc>
          <w:tcPr>
            <w:tcW w:type="dxa" w:w="204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形态</w:t>
            </w:r>
          </w:p>
        </w:tc>
        <w:tc>
          <w:tcPr>
            <w:tcW w:type="dxa" w:w="36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实现方式</w:t>
            </w:r>
          </w:p>
        </w:tc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对指标精度的影响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提供历史事件接口</w:t>
            </w:r>
          </w:p>
        </w:tc>
        <w:tc>
          <w:tcPr>
            <w:tcW w:type="dxa" w:w="36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拉取事件流，按事件精确计算坐席状态时长与话务过程指标。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精度不受轮询周期限制。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仅提供当前状态快照</w:t>
            </w:r>
          </w:p>
        </w:tc>
        <w:tc>
          <w:tcPr>
            <w:tcW w:type="dxa" w:w="36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按轮询周期采样，状态时长由采样点推算。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单次状态时长误差最大为一个轮询周期；日累计误差随状态切换次数放大。此形态下，坐席状态时长类指标须在报表上标注测量方式。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另需注意，ICP 没有第二条技术通道可用于交叉验证，因此话务类指标的对账只能与话务平台自身的报表比对，对账规则在 6.4 定义。</w:t>
      </w:r>
    </w:p>
    <w:p>
      <w:pPr>
        <w:pStyle w:val="Heading3"/>
      </w:pPr>
      <w:r>
        <w:t>4.6.4  外部 Kafka（IF-04）与文件投递（IF-05）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本系统不自建 Kafka 代理，但保留消费能力。上线时不启用，契约（主题命名、消息格式、幂等键、位点语义）先行定义，避免将来接入时才发现语义不兼容。文件投递作为人工与兜底通道，要求随文件提供清单与校验和。</w:t>
      </w:r>
    </w:p>
    <w:p>
      <w:r>
        <w:br w:type="page"/>
      </w:r>
    </w:p>
    <w:p>
      <w:pPr>
        <w:pStyle w:val="Heading1"/>
      </w:pPr>
      <w:r>
        <w:t>5  数据模型与分层</w:t>
      </w:r>
    </w:p>
    <w:p>
      <w:pPr>
        <w:pStyle w:val="Heading2"/>
      </w:pPr>
      <w:r>
        <w:t>5.1  schema 链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物理上只有一个数据库集群实例，满足 RFP 1.6.2.3。分层是 schema 级的逻辑隔离，不是多个数据库实例。物理上真正分离的只有读写：写入走主库，全部查询走分析副本。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4495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D-Fig5-1-Data-Layer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449528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rFonts w:ascii="微软雅黑" w:hAnsi="微软雅黑" w:eastAsia="微软雅黑"/>
          <w:b w:val="0"/>
          <w:color w:val="4B5563"/>
          <w:sz w:val="17"/>
        </w:rPr>
        <w:t>图 5-1  Data Layering and Subject Domains   数据分层与主题域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134"/>
        <w:gridCol w:w="1247"/>
        <w:gridCol w:w="4876"/>
        <w:gridCol w:w="1587"/>
      </w:tblGrid>
      <w:tr>
        <w:trPr>
          <w:tblHeader/>
        </w:trPr>
        <w:tc>
          <w:tcPr>
            <w:tcW w:type="dxa" w:w="113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schema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876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内容</w:t>
            </w:r>
          </w:p>
        </w:tc>
        <w:tc>
          <w:tcPr>
            <w:tcW w:type="dxa" w:w="158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可否重建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原始落地</w:t>
            </w:r>
          </w:p>
        </w:tc>
        <w:tc>
          <w:tcPr>
            <w:tcW w:type="dxa" w:w="487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与源系统逐字一致，附完整原始载荷（JSONB）与接入元数据。</w:t>
            </w:r>
          </w:p>
        </w:tc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不可，为源头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staging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清洗</w:t>
            </w:r>
          </w:p>
        </w:tc>
        <w:tc>
          <w:tcPr>
            <w:tcW w:type="dxa" w:w="487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类型规范、去重、软删除与迟到处理、语义映射。一源一模型，不做跨源关联。</w:t>
            </w:r>
          </w:p>
        </w:tc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核心模型</w:t>
            </w:r>
          </w:p>
        </w:tc>
        <w:tc>
          <w:tcPr>
            <w:tcW w:type="dxa" w:w="487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跨源整合的事实与维度，缓变维 Type 2，日切版本与修正标记。含 fact_ai_inference（AI 包回流的推断结果，带模型标识、版本、推理时间与置信度，与业务事实分表）。事实表带警情坐标与网格键，供热点聚合。</w:t>
            </w:r>
          </w:p>
        </w:tc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mart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主题层</w:t>
            </w:r>
          </w:p>
        </w:tc>
        <w:tc>
          <w:tcPr>
            <w:tcW w:type="dxa" w:w="487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面向报表与仪表板的聚合，按五个主题域分组。</w:t>
            </w:r>
          </w:p>
        </w:tc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数据层</w:t>
            </w:r>
          </w:p>
        </w:tc>
        <w:tc>
          <w:tcPr>
            <w:tcW w:type="dxa" w:w="487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实体级宽表、特征表、媒体索引、导出快照。</w:t>
            </w:r>
          </w:p>
        </w:tc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元数据</w:t>
            </w:r>
          </w:p>
        </w:tc>
        <w:tc>
          <w:tcPr>
            <w:tcW w:type="dxa" w:w="487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接入契约、映射登记、指标注册、血缘、水位与运行状态、值剖析、待澄清队列。另含时间轴上的 schema 版本登记表（归档多版本归一化）、坐标系三项配置、以及字段可见性矩阵与部门映射表。</w:t>
            </w:r>
          </w:p>
        </w:tc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不可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audit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审计</w:t>
            </w:r>
          </w:p>
        </w:tc>
        <w:tc>
          <w:tcPr>
            <w:tcW w:type="dxa" w:w="487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访问与导出留痕，只增不改。</w:t>
            </w:r>
          </w:p>
        </w:tc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不可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5.2  主题域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814"/>
        <w:gridCol w:w="7030"/>
      </w:tblGrid>
      <w:tr>
        <w:trPr>
          <w:tblHeader/>
        </w:trPr>
        <w:tc>
          <w:tcPr>
            <w:tcW w:type="dxa" w:w="181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主题域</w:t>
            </w:r>
          </w:p>
        </w:tc>
        <w:tc>
          <w:tcPr>
            <w:tcW w:type="dxa" w:w="7030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覆盖内容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接警话务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呼入、排队、应答、放弃、坐席状态与工作量、通话过程指标。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警情处置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警情受理、分类、派单、到场、处置、结案的全过程与各环节时长。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资源与勤务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坐席与处置单位的在岗、勤务级别、班次、可用资源状态。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绩效与质量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服务水平、响应时长分布、复核与质检、异常事件。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系统运行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可用性、接口延迟、数据质量、作业执行情况——即服务水平举证数据。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5.3  缓变维策略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维度按"当时"记录，即缓变维 Type 2。以调度员在三月从 A 班组调至 B 班组为例：一月的警情始终计入 A 班组，因为当时他在 A 班组。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这样选择的理由不是技术偏好，而是：若按"当前"记录，去年打印的报表在今年重跑会得出不同的数字。在绩效考核与事后复盘的场景下，报表的公信力比模型的简洁更重要。同样的处理适用于单位改名、辖区调整与警情分类体系变更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代价是维度表需存生效与失效时间，事实关联到当时那一版维度，模型与查询略复杂。</w:t>
      </w:r>
    </w:p>
    <w:p>
      <w:pPr>
        <w:pStyle w:val="Heading2"/>
      </w:pPr>
      <w:r>
        <w:t>5.4  关联键与粒度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CAD 与 ICP 之间存在两侧统一的通话标识，这使从振铃到出警的全过程指标成为可能——这类指标是 911 业务分析中价值最高的部分。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两个建模细节需要在详细设计前用真实数据验证：一是一起警情是否可能关联多个通话（回拨、转接、同一事件多人报警），这决定事实表的粒度是 1 对 1 还是 1 对多；二是非电话渠道产生的警情（自建、巡逻发现）是否没有通话标识，这决定关联的可选性与统计口径中的分母定义。两者列入第 14 章。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所有事实表带 dim_site 维度并使用全局唯一主键，为多站扩展预留（第 13 章）。</w:t>
      </w:r>
    </w:p>
    <w:p>
      <w:pPr>
        <w:pStyle w:val="Heading2"/>
      </w:pPr>
      <w:r>
        <w:t>5.5  分区、保留与归档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020"/>
        <w:gridCol w:w="1474"/>
        <w:gridCol w:w="1928"/>
        <w:gridCol w:w="4535"/>
      </w:tblGrid>
      <w:tr>
        <w:trPr>
          <w:tblHeader/>
        </w:trPr>
        <w:tc>
          <w:tcPr>
            <w:tcW w:type="dxa" w:w="1020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147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分区</w:t>
            </w:r>
          </w:p>
        </w:tc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在线保留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按天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合同期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压缩存储；不参与查询，仅供重建与举证。</w:t>
            </w:r>
          </w:p>
        </w:tc>
      </w:tr>
      <w:tr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按天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全部历史在线（温层）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在线保留全周期；历史分区可转为压缩存储。</w:t>
            </w:r>
          </w:p>
        </w:tc>
      </w:tr>
      <w:tr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mart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按天 / 按月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近一年为热层，其余为温层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可从 core 重建，故障时以重建为恢复手段。</w:t>
            </w:r>
          </w:p>
        </w:tc>
      </w:tr>
      <w:tr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按天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按需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可重建；导出快照另行留痕。</w:t>
            </w:r>
          </w:p>
        </w:tc>
      </w:tr>
      <w:tr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audit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按月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与业务数据同期（待确认）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只增不改。</w:t>
            </w:r>
          </w:p>
        </w:tc>
      </w:tr>
      <w:tr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备份：离线五年、扩展离线八年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RFP 2.7.10.4.2 与 2.7.10.4.3 执行，与在线保留解耦。原「业务数据在线保留八年」为对该条的口径误读，已更正。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5.6  AI 数据层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ai 与 mart 平行，都从 core 构建。分开的理由有三条，合并的约束有一条。</w:t>
      </w:r>
    </w:p>
    <w:p>
      <w:pPr>
        <w:pStyle w:val="ListNumber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消费模式不同。主题层是"指标乘维度"的聚合切片，面向固定报表；AI 宽表是"一实体一行、字段极宽"，面向点查与全表批量扫描导出。两者的建模取向相反。</w:t>
      </w:r>
    </w:p>
    <w:p>
      <w:pPr>
        <w:pStyle w:val="ListNumber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演进节奏不同。报表口径变更须走口径评审，AI 特征增删是常态。把特征表放进主题层，等于让特征迭代去挤报表的变更窗口。</w:t>
      </w:r>
    </w:p>
    <w:p>
      <w:pPr>
        <w:pStyle w:val="ListNumber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权限与审计等级不同。AI 会用到警情描述原文、处置记录、位置以及关联的照片与录音，敏感度高于任何一张报表，须独立的权限域与审计口径。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唯一的合并约束是：ai 只能从 core 构建，不允许自行从 raw 另起加工链。否则同一个"上季度警情数"会出现两个数字，而且是我方内部制造的分裂。</w:t>
      </w:r>
    </w:p>
    <w:p>
      <w:pPr>
        <w:pStyle w:val="Heading2"/>
      </w:pPr>
      <w:r>
        <w:t>5.7  数据库副本与模型文档交付物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RFP 1.6.2.32 要求向 MOI 交付关系型数据库格式的完整库副本（非加密），并附字段、表、视图、过滤器与报表的定义与说明、数据字典与数据模型，全部以 Microsoft Office 格式提供。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本设计的实现方式是：数据字典与数据模型由库结构自动生成、由人工补充业务含义，随每次版本发布同步更新，而不是在交付前突击编写。本方为定制开发且基于开源组件，不存在 OEM 对库结构与内容的限制，因此该条对我方而言是优势项而非负担。</w:t>
      </w:r>
    </w:p>
    <w:p>
      <w:pPr>
        <w:spacing w:before="0" w:after="80"/>
      </w:pPr>
    </w:p>
    <w:p>
      <w:pPr>
        <w:pStyle w:val="Heading2"/>
      </w:pPr>
      <w:r>
        <w:t>5.8  AI 数据层的定位说明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本系统负责把数据做成 AI 就绪：稳定的实体主键、清晰的时间语义、干净的文本、可靠的媒体关联、标准格式导出。AI 模型本身不在本范围内。若 AI 侧将来需要向量检索或列存引擎等专用能力，通过第 7.6 节的导出接口取数，不改变本系统的架构，也不进入本系统的数据库。</w:t>
      </w:r>
    </w:p>
    <w:p>
      <w:r>
        <w:br w:type="page"/>
      </w:r>
    </w:p>
    <w:p>
      <w:pPr>
        <w:pStyle w:val="Heading1"/>
      </w:pPr>
      <w:r>
        <w:t>6  指标与口径</w:t>
      </w:r>
    </w:p>
    <w:p>
      <w:pPr>
        <w:pStyle w:val="Heading2"/>
      </w:pPr>
      <w:r>
        <w:t>6.1  语义层与指标注册表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指标的定义、口径说明、维度、粒度与权威来源集中在指标注册表中，由语义与指标服务提供，是全项目指标定义的唯一事实来源。任何界面、报表或对外接口取用指标，都经由该服务解析，不允许在展现层各自写死计算逻辑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指挥大屏由本系统交付，不再存在第二块由其他供应商交付、独立计算同类指标的屏幕，因此指标权威在结构上成立，而不依赖协议约定。对外数据服务（IF-33）为必须交付项而非预留能力（见 7.7）；AI 包经 IF-38 取用语义目录与结构化查询，是已明确的消费方，其自然语言助手不得自行生成 SQL，以免在联合体内部制造第二套口径。</w:t>
      </w:r>
    </w:p>
    <w:p>
      <w:pPr>
        <w:pStyle w:val="Heading2"/>
      </w:pPr>
      <w:r>
        <w:t>6.2  三级数据新鲜度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系统有三条数据路径，延迟不同，权威性也不同。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8475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D-Fig6-1-Freshness-and-Day-clo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4755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rFonts w:ascii="微软雅黑" w:hAnsi="微软雅黑" w:eastAsia="微软雅黑"/>
          <w:b w:val="0"/>
          <w:color w:val="4B5563"/>
          <w:sz w:val="17"/>
        </w:rPr>
        <w:t>图 6-1  Data Freshness Tiers and the Day-close Rule   数据新鲜度分级与日切规则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474"/>
        <w:gridCol w:w="1361"/>
        <w:gridCol w:w="3061"/>
        <w:gridCol w:w="3175"/>
      </w:tblGrid>
      <w:tr>
        <w:trPr>
          <w:tblHeader/>
        </w:trPr>
        <w:tc>
          <w:tcPr>
            <w:tcW w:type="dxa" w:w="147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路径</w:t>
            </w:r>
          </w:p>
        </w:tc>
        <w:tc>
          <w:tcPr>
            <w:tcW w:type="dxa" w:w="136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延迟</w:t>
            </w:r>
          </w:p>
        </w:tc>
        <w:tc>
          <w:tcPr>
            <w:tcW w:type="dxa" w:w="306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数据来源</w:t>
            </w:r>
          </w:p>
        </w:tc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权威性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实时状态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 至 10 秒</w:t>
            </w:r>
          </w:p>
        </w:tc>
        <w:tc>
          <w:tcPr>
            <w:tcW w:type="dxa" w:w="30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直接轮询 ICP 与 DS 展示库，内存维护，不落库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指示性。不用于统计，不作为考核依据。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准实时聚合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1 分钟</w:t>
            </w:r>
          </w:p>
        </w:tc>
        <w:tc>
          <w:tcPr>
            <w:tcW w:type="dxa" w:w="30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按日桶重算当日分区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当日临时值，标注为未封账。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批量统计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小时 / 每日</w:t>
            </w:r>
          </w:p>
        </w:tc>
        <w:tc>
          <w:tcPr>
            <w:tcW w:type="dxa" w:w="30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完整模型构建，日切封账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权威值。报表与对外数据以此为准。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6.3  日切、封账与修正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按沙特时间（UTC+3）公历日切，每日以 00:00 AST 为界。dim_date 同时携带回历日期字段，以备朝觐相关分析与 MOI 内部习惯使用，成本接近于零。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日结在次日固定时刻封账并标记版本号。封账后到达的变更不修改历史快照，而是进入修正表并标记为下一版本，报表上体现为"含修正"。这条规则的目的只有一个：明年重印的报表与今天打印的一致。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封账机制同时是 RFP 1.6.2.4 中"实时数据为当日、历史数据为当日之前"的实现方式。</w:t>
      </w:r>
    </w:p>
    <w:p>
      <w:pPr>
        <w:pStyle w:val="Heading2"/>
      </w:pPr>
      <w:r>
        <w:t>6.4  实时口径与统计口径的对账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大屏上的数字与日结报表的数字必然不完全一致。这不是缺陷，而是两条路径的固有差异：前者是每隔数秒对另一系统的一次采样，后者是封账后经过完整清洗与对账的结果。本设计的立场是把这个差异写明，而不是让使用者自行发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3855"/>
        <w:gridCol w:w="3288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差异来源</w:t>
            </w:r>
          </w:p>
        </w:tc>
        <w:tc>
          <w:tcPr>
            <w:tcW w:type="dxa" w:w="385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  <w:tc>
          <w:tcPr>
            <w:tcW w:type="dxa" w:w="328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处理方式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采样间隔</w:t>
            </w:r>
          </w:p>
        </w:tc>
        <w:tc>
          <w:tcPr>
            <w:tcW w:type="dxa" w:w="385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实时路径按轮询周期采样，两次采样之间的状态变化不可见。</w:t>
            </w:r>
          </w:p>
        </w:tc>
        <w:tc>
          <w:tcPr>
            <w:tcW w:type="dxa" w:w="328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在界面标注数据时点；状态时长类指标标注测量方式。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迟到与修正</w:t>
            </w:r>
          </w:p>
        </w:tc>
        <w:tc>
          <w:tcPr>
            <w:tcW w:type="dxa" w:w="385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封账前后到达的更新会改变统计值，但不会改变已推送的实时值。</w:t>
            </w:r>
          </w:p>
        </w:tc>
        <w:tc>
          <w:tcPr>
            <w:tcW w:type="dxa" w:w="328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统计侧以版本号区分；实时侧不追溯。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清洗规则</w:t>
            </w:r>
          </w:p>
        </w:tc>
        <w:tc>
          <w:tcPr>
            <w:tcW w:type="dxa" w:w="385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实时路径不做去重与软删除处理，统计路径做。</w:t>
            </w:r>
          </w:p>
        </w:tc>
        <w:tc>
          <w:tcPr>
            <w:tcW w:type="dxa" w:w="328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差异纳入每日对账报告，超过阈值时告警。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来源系统自身口径</w:t>
            </w:r>
          </w:p>
        </w:tc>
        <w:tc>
          <w:tcPr>
            <w:tcW w:type="dxa" w:w="385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ICP 无第二技术通道，只能与话务平台自身报表比对。</w:t>
            </w:r>
          </w:p>
        </w:tc>
        <w:tc>
          <w:tcPr>
            <w:tcW w:type="dxa" w:w="328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每日自动比对总量类指标，差异记录并留痕。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6.5  指标成熟度标记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查询 API 的每一次响应携带四个元字段：口径版本、数据时点、封账状态（未封账 / 已封账 / 含修正）、是否依赖未验证映射。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这四个字段使我方给出的数字成为可以在会议上被辩护的数字：数值到达时同时带着产生它的规则，以及它有多确定。报表上体现为一行脚注。约束只有一条：未验证的映射可以进入探索性分析，不能不带标记地进入对外发布的指标。</w:t>
      </w:r>
    </w:p>
    <w:p>
      <w:r>
        <w:br w:type="page"/>
      </w:r>
    </w:p>
    <w:p>
      <w:pPr>
        <w:pStyle w:val="Heading1"/>
      </w:pPr>
      <w:r>
        <w:t>7  服务与接口</w:t>
      </w:r>
    </w:p>
    <w:p>
      <w:pPr>
        <w:pStyle w:val="Heading2"/>
      </w:pPr>
      <w:r>
        <w:t>7.1  两条数据出口路径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数据离开系统只有两条路径：同步的查询路径与异步的实时推送路径。两者使用不同的组件，承载不同的保证。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58220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D-Fig7-1-Query-and-Realtime-Pa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82202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rFonts w:ascii="微软雅黑" w:hAnsi="微软雅黑" w:eastAsia="微软雅黑"/>
          <w:b w:val="0"/>
          <w:color w:val="4B5563"/>
          <w:sz w:val="17"/>
        </w:rPr>
        <w:t>图 7-1  Query Path and Realtime Push Path   查询路径与实时推送路径</w:t>
      </w:r>
    </w:p>
    <w:p>
      <w:pPr>
        <w:pStyle w:val="Heading2"/>
      </w:pPr>
      <w:r>
        <w:t>7.2  查询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能力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查询语义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按指标、维度组合、过滤条件、时间范围与时间粒度查询；指标定义由语义层解析为 SQL。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执行位置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一律在分析副本执行，只读；任何情况下不触碰主库。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保护措施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并发限流、结果集上限、查询超时、结果缓存（按指标与参数指纹）。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响应元字段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口径版本、数据时点、封账状态、是否依赖未验证映射。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权限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由身份与授权组件解析角色，数据权限以过滤条件形式下推（当前配置为不切分，见 10.3）。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性能目标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三档分层承诺。实时推送路径（大屏与实时看板）2 至 10 秒刷新、标注指示性，不适用亚秒要求；快速查询路径（近一年，mart 预聚合与缓存覆盖）端到端 95% 亚秒、峰值 99% 低于 2 秒，服务端目标 400 至 500 毫秒；历史查询路径（一年以上）允许秒级，超阈值转异步，界面明确提示。响应时间按 RFP 1.6.7.2 的定义测量（含前端渲染）。历史查询走独立低优先级配额，不得拖慢快速路径。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7.3  实时推送网关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实时状态服务以独立连接池短周期拉取源系统的当前状态，在内存中维护"此刻"视图并计算变化量，经 WebSocket 网关按角色过滤后推送。两个实例之间通过 PostgreSQL 的 LISTEN / NOTIFY 保持一致，不为此引入新的中间件。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客户端保存收到的最后一个序号。重连时提交该序号，网关回送一份完整的状态快照，而不是补发期间的全部事件。这样，一块中断两小时的大屏在一次往返后即恢复正确，无需人工干预。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</w:tblPr>
      <w:tblGrid>
        <w:gridCol w:w="9298"/>
      </w:tblGrid>
      <w:tr>
        <w:tc>
          <w:tcPr>
            <w:tcW w:type="dxa" w:w="9298"/>
            <w:shd w:val="clear" w:fill="FDEEEE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91C1C"/>
                <w:sz w:val="20"/>
              </w:rPr>
              <w:t>这条路径为什么不写数据库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实时状态是对另一个系统的观测，不是本系统自己的记录。把它落库会制造出同一批事实的第二个版本——更快，但更不可靠——而所有关于"哪个数字是对的"的争论都会从这里开始。因此它只存在于内存中，随进程结束而消失。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t>7.4  报表渲染与分发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RFP 1.6.2.25 规定在各子系统预置报表之外，为每个 OSS911 中心定义并实现四十张自定义报表。本期范围为麦加一个中心，因此交付四十张。这是硬数量，为交付量下限；逐张的口径、参数与版式见交接包 HD-05。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需要在设计阶段书面澄清的一点是：RFP 1.6.2.18 与 1.6.2.28 另要求复刻现有麦加 911 中心的报表。本设计按"复刻项包含在四十张之内"编制，若 MOI 认为应另行计数，交付量将显著增加。此项列入第 14 章。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报表按语言各出一份，阿语版与英语版为两套模板，各自单向排版，不做阿英混排。这一决定显著降低了排版复杂度与缺陷风险。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随之而来的一个数据问题需要在实施期解决：报表中的维度取值（警情类别、处置单位、辖区名称）来自 CAD。若 CAD 只存一种语言，则阿语报表中会混入另一种语言的数据。因此需在数据字典阶段确认 CAD 维度表是否具备双语名称字段；若不具备，由我方在 M-10 基础数据维护中维护一张双语对照维度表。此项列入第 14 章。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能力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输出格式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PDF、Word、Excel。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执行方式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异步任务，产物落对象存储，通过媒体服务以短时效凭证提供访问。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订阅分发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按计划生成并投递，含失败重试与投递回执。投递通道待确认（见第 14 章）。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模板管理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 M-05 中发布、下架、配置参数与可见范围。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7.5  媒体服务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对象存储不对客户端直接暴露。媒体服务负责鉴权、签发短时效访问凭证、记录访问留痕。现场照片、报表产物与 AI 导出文件均通过该服务访问。</w:t>
      </w:r>
    </w:p>
    <w:p>
      <w:pPr>
        <w:pStyle w:val="Heading2"/>
      </w:pPr>
      <w:r>
        <w:t>7.6  AI 数据服务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能力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宽表查询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实体级宽表的点查与条件查询。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批量导出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生成 Parquet 或 CSV 落对象存储，供 AI 侧按批次提取。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媒体关联检索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结构化数据与对象存储中媒体对象的关联索引。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配额与审计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导出任务的配额限制、时段限制与完整审计留痕。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执行约束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批量扫描走分析副本、限流、错峰执行（非高峰时段），任何情况下不触碰主库。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若将来 AI 负载增长，扩展一个只读副本即可承载，扩容路径已在架构中预留。</w:t>
      </w:r>
    </w:p>
    <w:p>
      <w:pPr>
        <w:pStyle w:val="Heading2"/>
      </w:pPr>
      <w:r>
        <w:t>7.7  对外数据服务与 ESB 适配器（IF-33，必须交付）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RFP 在三处分别要求对外提供数据，因此这不是可选能力，而是必须交付项。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247"/>
        <w:gridCol w:w="3742"/>
        <w:gridCol w:w="3855"/>
      </w:tblGrid>
      <w:tr>
        <w:trPr>
          <w:tblHeader/>
        </w:trPr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条款</w:t>
            </w:r>
          </w:p>
        </w:tc>
        <w:tc>
          <w:tcPr>
            <w:tcW w:type="dxa" w:w="374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要求</w:t>
            </w:r>
          </w:p>
        </w:tc>
        <w:tc>
          <w:tcPr>
            <w:tcW w:type="dxa" w:w="385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本设计的实现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1.6.2.29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将主要警情与告警信息及相关数据以 Web 服务形式提供，供其它 OSS911 与 MOI 应用消费</w:t>
            </w:r>
          </w:p>
        </w:tc>
        <w:tc>
          <w:tcPr>
            <w:tcW w:type="dxa" w:w="385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在查询 API 之上开放事件与告警的订阅与查询接口，响应携带与 7.2 相同的四个元字段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1.6.2.31.1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将各系统及相关数据库、数据结构、表、字段与参数以数据服务形式暴露</w:t>
            </w:r>
          </w:p>
        </w:tc>
        <w:tc>
          <w:tcPr>
            <w:tcW w:type="dxa" w:w="385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core 与 mart 的对外可见范围提供数据服务，带鉴权、限流与全程审计；不开放数据库直连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1.6.2.31.2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开发、提供并实施 ESB 所需的适配器，使外部应用能够访问本方数据仓库</w:t>
            </w:r>
          </w:p>
        </w:tc>
        <w:tc>
          <w:tcPr>
            <w:tcW w:type="dxa" w:w="385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ESB 规格实现适配器；接口清单与版本策略文档化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鉴权采用 OAuth2 客户端凭证，路径版本化。响应中的四个元字段（口径版本、数据时点、封账状态、是否依赖未验证映射）同样适用于对外调用方——这既是数据质量的声明，也是本方指标口径的技术表达。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45309"/>
          <w:left w:val="single" w:sz="4" w:space="0" w:color="B45309"/>
          <w:bottom w:val="single" w:sz="4" w:space="0" w:color="B45309"/>
          <w:right w:val="single" w:sz="4" w:space="0" w:color="B45309"/>
          <w:insideH w:val="single" w:sz="4" w:space="0" w:color="B45309"/>
          <w:insideV w:val="single" w:sz="4" w:space="0" w:color="B45309"/>
        </w:tblBorders>
      </w:tblPr>
      <w:tblGrid>
        <w:gridCol w:w="9298"/>
      </w:tblGrid>
      <w:tr>
        <w:tc>
          <w:tcPr>
            <w:tcW w:type="dxa" w:w="9298"/>
            <w:shd w:val="clear" w:fill="FDF4E7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45309"/>
                <w:sz w:val="20"/>
              </w:rPr>
              <w:t>一项不由本方控制的依赖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ESB 由总包商提供。适配器的实现与联调时间取决于 ESB 的规格何时冻结，不由本方控制。该依赖已列入第 14 章，需在联合体内尽早明确。</w:t>
            </w:r>
          </w:p>
        </w:tc>
      </w:tr>
    </w:tbl>
    <w:p>
      <w:pPr>
        <w:spacing w:before="0" w:after="160"/>
      </w:pPr>
    </w:p>
    <w:p>
      <w:r>
        <w:br w:type="page"/>
      </w:r>
    </w:p>
    <w:p>
      <w:pPr>
        <w:pStyle w:val="Heading1"/>
      </w:pPr>
      <w:r>
        <w:t>8  用户界面</w:t>
      </w:r>
    </w:p>
    <w:p>
      <w:pPr>
        <w:pStyle w:val="Heading2"/>
      </w:pPr>
      <w:r>
        <w:t>8.1  BI 门户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门户采用自建外壳，Superset 作为后端查询引擎，不直接暴露给用户。这样做多出两到三周工作量，换来的是：界面风格、阿语本地化与权限模型不必迁就第三方产品的约定，并且门户、仪表板、大屏与将来的移动端可以共用同一套视觉与交互体系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功能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报表目录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按主题域与角色组织，支持检索。四十张预置报表按五个主题域归类。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参数化查询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时间范围、辖区、单位、勤务级别等参数；结果带元字段脚注。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自助分析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基于语义层的指标与维度组合。默认路径不写 SQL。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受控 SQL 查询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1.6.2.15 要求可使用通用 SQL 生成简短报表。本系统提供受控的 SQL 能力：仅授权角色可见、只读、仅在分析副本执行、强制超时与结果集上限、全程审计。这是对"不绕过语义层"的唯一例外，以权限与审计约束，而非以禁止实现。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导出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Excel、CSV、PDF；导出行为写入审计。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订阅管理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自助订阅报表与投递计划。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记录检索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按受配置的有限条件集检索记录并即时调取（RFP 1.6.2.7）。条件必含时间范围且有跨度上限，结果集有硬上限。返回字段按角色的可见性矩阵裁剪，敏感字段需单独授权并写审计。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8.2  仪表板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二十个预置仪表板加自定义能力（RFP 1.6.2.25），覆盖五个主题域。当日数据显示为未封账状态并附标注，与第 6 章的口径规则一致。仪表板逐个的指标构成与刷新口径见交接包 HD-05。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其中三类需要专门说明：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实时共同作战图（RFP 1.6.2.27.1）：大屏主视图，2 至 10 秒刷新，标注为指示性数据。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热点与聚集区分析（RFP 1.6.5.7.5）：基于位置的警情聚集与热力呈现，算法与阈值在详细设计阶段与业务确认。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客户反馈看板（RFP 1.6.2.17）：将反馈纳入绩效度量；反馈数据的采集方与形态待确认，见第 14 章。</w:t>
      </w:r>
    </w:p>
    <w:p>
      <w:pPr>
        <w:pStyle w:val="Heading2"/>
      </w:pPr>
      <w:r>
        <w:t>8.3  指挥大屏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独立 Web 应用，长连接，无人值守自恢复。设计要点：断线自动重连并以快照方式恢复、渲染异常自动重载、无需操作员干预。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1D4ED8"/>
          <w:left w:val="single" w:sz="4" w:space="0" w:color="1D4ED8"/>
          <w:bottom w:val="single" w:sz="4" w:space="0" w:color="1D4ED8"/>
          <w:right w:val="single" w:sz="4" w:space="0" w:color="1D4ED8"/>
          <w:insideH w:val="single" w:sz="4" w:space="0" w:color="1D4ED8"/>
          <w:insideV w:val="single" w:sz="4" w:space="0" w:color="1D4ED8"/>
        </w:tblBorders>
      </w:tblPr>
      <w:tblGrid>
        <w:gridCol w:w="9298"/>
      </w:tblGrid>
      <w:tr>
        <w:tc>
          <w:tcPr>
            <w:tcW w:type="dxa" w:w="9298"/>
            <w:shd w:val="clear" w:fill="F1F5F9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1D4ED8"/>
                <w:sz w:val="20"/>
              </w:rPr>
              <w:t>一项来自 POC 的输入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DS 曾提供一块 POC 大屏并已由 MOI 相关人员看过，其数据为写死的样例。该大屏不在交付范围内，本系统交付的大屏取代它。但相关人员的预期已被那个界面锚定，因此本系统大屏在功能覆盖上不应低于它。实施期需逐项核对 POC 界面上的每个元素是否有真实数据源支撑——写死的数字不需要数据源，真实实现需要。该核对清单列入第 14 章。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t>8.4  移动应用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移动应用本期交付。此前列为后续阶段的理由是内政部专网不具备公网可达性、APNs 与 FCM 推送无法送达；该理由在详细设计阶段被推翻——系统设有 DMZ 区，具备 internet 访问能力与短信、邮件网关，应用可经 MOI 既有 MDM 分发，并通过 DMZ 反向代理访问内网服务层（IF-40）。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实际的处置结论不是恢复设备推送，而是重新界定移动端的定位：它是面向主管与管理员的管理看板，不是接警员与调度员的作业工具。因此不使用 APNs 与 FCM（内政部数据不经第三方服务转发），打开应用后主动拉取；只呈现封账后的聚合指标，不提供记录级下钻、媒体访问与导出，从而把数据分类政策的审批范围控制在统计数据一级；告警经短信与邮件网关送达（7.4 的投递服务），两个网关均由总包商提供，其故障不计入本方服务水平。形态为原生薄壳应用内嵌移动专用布局：共用服务层 API、设计系统与组件库，但布局与桌面门户分为两套，薄壳提供证书固定、设备注册与令牌吊销。移动端链路含公网段，不适用 1.6.7.5 的亚秒承诺，须在服务水平判定口径中单列或排除。按此形态交付，RFP 1.3.2.12.15 获正面响应。</w:t>
      </w:r>
    </w:p>
    <w:p>
      <w:pPr>
        <w:pStyle w:val="Heading2"/>
      </w:pPr>
      <w:r>
        <w:t>8.5  语言与本地化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对象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处理方式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界面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阿语与英语双语，用户可切换；阿语界面为从右至左布局。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按语言各出一份，不做混排（7.4）。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维度取值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若源系统仅提供单一语言，由 M-10 维护双语对照表（7.4）。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公历为主，dim_date 携带回历字段以备使用（6.3）。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时区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统一沙特时间 UTC+3。</w:t>
            </w:r>
          </w:p>
        </w:tc>
      </w:tr>
    </w:tbl>
    <w:p>
      <w:pPr>
        <w:spacing w:before="0" w:after="140"/>
      </w:pPr>
    </w:p>
    <w:p>
      <w:r>
        <w:br w:type="page"/>
      </w:r>
    </w:p>
    <w:p>
      <w:pPr>
        <w:pStyle w:val="Heading1"/>
      </w:pPr>
      <w:r>
        <w:t>9  管理与运维</w:t>
      </w:r>
    </w:p>
    <w:p>
      <w:pPr>
        <w:pStyle w:val="Heading2"/>
      </w:pPr>
      <w:r>
        <w:t>9.1  管理界面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管理能力以十一个界面交付，全部是本系统的组成部分，而不是让运维人员去用数据库客户端。设计目标是：运维人员不打开数据库客户端就能回答三个问题——数据是不是最新的、可不可信、谁看过。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58220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D-Fig9-1-Management-Console-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82202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rFonts w:ascii="微软雅黑" w:hAnsi="微软雅黑" w:eastAsia="微软雅黑"/>
          <w:b w:val="0"/>
          <w:color w:val="4B5563"/>
          <w:sz w:val="17"/>
        </w:rPr>
        <w:t>图 9-1  Management Console Function Map   管理界面功能地图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964"/>
        <w:gridCol w:w="1928"/>
        <w:gridCol w:w="6009"/>
      </w:tblGrid>
      <w:tr>
        <w:trPr>
          <w:tblHeader/>
        </w:trPr>
        <w:tc>
          <w:tcPr>
            <w:tcW w:type="dxa" w:w="96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界面</w:t>
            </w:r>
          </w:p>
        </w:tc>
        <w:tc>
          <w:tcPr>
            <w:tcW w:type="dxa" w:w="600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主要能力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M-01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数据源接入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各源水位、最后成功时间、延迟、隔离条数、契约版本；运行参数热调（启停、间隔、批量、限流），带审计。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M-02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作业调度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运行历史、依赖视图、失败重跑、补数、SLA 告警。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M-03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数据质量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规则结果、隔离区查看与放行或丢弃、待澄清队列（按影响行数与受影响指标排序）、对账差异。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M-04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指标字典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指标定义、口径说明、血缘、变更历史。面向业务读者，只读。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M-05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报表与仪表板管理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发布与下架、参数、按角色的可见性、订阅与分发。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M-06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用户与权限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四个角色与 MOI 目录的映射；行级范围机制已具备但未启用。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M-07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审计查询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谁在何时查询或导出了什么。只增不改。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M-08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运行监控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可用性、复制延迟、查询时延分布、资源水位、告警。服务水平举证数据的存放处。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M-09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备份与恢复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备份状态、可恢复时间点、恢复演练记录。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M-10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基础数据维护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代码表、班次、勤务级别、辖区、单位；源系统仅有单语名称时的双语对照维护。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M-11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数据分类与发现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周期性扫描数据库与对象存储，识别敏感内容；分类标签的人工确认；标签驱动字段可见性默认值与脱敏规则对象清单。使用者为数据治理角色。扫描周期可配置。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9.2  两级配置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587"/>
        <w:gridCol w:w="3969"/>
        <w:gridCol w:w="3288"/>
      </w:tblGrid>
      <w:tr>
        <w:trPr>
          <w:tblHeader/>
        </w:trPr>
        <w:tc>
          <w:tcPr>
            <w:tcW w:type="dxa" w:w="158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类别</w:t>
            </w:r>
          </w:p>
        </w:tc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内容</w:t>
            </w:r>
          </w:p>
        </w:tc>
        <w:tc>
          <w:tcPr>
            <w:tcW w:type="dxa" w:w="328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变更方式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结构性配置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水位线字段、幂等键、目标表、契约版本、模型定义、指标口径</w:t>
            </w:r>
          </w:p>
        </w:tc>
        <w:tc>
          <w:tcPr>
            <w:tcW w:type="dxa" w:w="328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 提交与发布流程，可评审、可回滚、可复现历史运行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运行参数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启停、调度间隔、批大小、并发、限流阈值、告警阈值</w:t>
            </w:r>
          </w:p>
        </w:tc>
        <w:tc>
          <w:tcPr>
            <w:tcW w:type="dxa" w:w="328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管理界面热调，立即生效，带审计留痕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这样区分的原因是运维现实：凌晨源系统压力升高时需要立即降低轮询频率，这不能等发布窗口；而水位线字段这类规则若能在生产界面上随手更改，事后就无法查清当时使用的是哪一版规则。</w:t>
      </w:r>
    </w:p>
    <w:p>
      <w:pPr>
        <w:pStyle w:val="Heading2"/>
      </w:pPr>
      <w:r>
        <w:t>9.3  监控与告警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类别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监控内容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可用性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数据库集群、服务层各组件、门户与大屏的可达性与响应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数据链路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各数据源的水位延迟、拉取成功率、隔离批次、结构漂移事件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数据质量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校验失败率、未映射取值占比、跨系统对账差异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作业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DAG 执行时长、失败与重试、SLA 违约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资源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CPU、内存、存储水位、连接数、复制延迟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时延分布（P50 / P95 / P99）、慢查询、超时与限流触发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监控数据独立留存、只增不改，保留期与考核期一致——这既是运维手段，也是第 11.6 节服务水平举证的证据来源。</w:t>
      </w:r>
    </w:p>
    <w:p>
      <w:pPr>
        <w:pStyle w:val="Heading2"/>
      </w:pPr>
      <w:r>
        <w:t>9.4  审计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查询与导出行为写入 audit schema，只增不改。911 数据的敏感度决定了"谁看过什么"必须可回溯。保留期按与业务数据同期（8 年）起草，待 MOI 合规要求确认。</w:t>
      </w:r>
    </w:p>
    <w:p>
      <w:r>
        <w:br w:type="page"/>
      </w:r>
    </w:p>
    <w:p>
      <w:pPr>
        <w:pStyle w:val="Heading1"/>
      </w:pPr>
      <w:r>
        <w:t>10  安全与权限</w:t>
      </w:r>
    </w:p>
    <w:p>
      <w:pPr>
        <w:pStyle w:val="Heading2"/>
      </w:pPr>
      <w:r>
        <w:t>10.1  身份联邦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通过 Keycloak 联邦 MOI 的 AD / LDAP 目录（IF-35），系统不自行保管用户口令。服务层以 OIDC 令牌校验身份，令牌中携带角色声明。</w:t>
      </w:r>
    </w:p>
    <w:p>
      <w:pPr>
        <w:pStyle w:val="Heading2"/>
      </w:pPr>
      <w:r>
        <w:t>10.2  角色模型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本中心的目录中仅有四个与本系统相关的角色。权限模型据此设计为纯角色访问控制。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角色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典型权限范围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接警员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与本人相关的话务与警情视图、个人绩效；不按部门过滤（接所有来电）；不含全局绩效与管理界面。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调度员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警情处置相关视图与资源状态；按派驻部门过滤，仅见本部门数据；不含管理界面。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主管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业务报表与仪表板、大屏、班组与人员绩效；按派驻部门过滤；不含系统管理界面。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管理员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全部业务视图与管理界面 M-01 至 M-10。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（横切）字段级可见性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四个角色之上另有字段级可见性矩阵（角色 × 字段），在 M-06 配置，服务端裁列。默认取值由 MOI 数据分类政策确定（10.4 的前置门）。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10.3  行级安全（本期启用）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911 中心的调度员来自不同派驻部门，各自只应看到本部门数据；主管同样按部门划分；接警员接所有来电，不按部门过滤；管理员不受限。因此行级安全本期启用，而非此前判断的预留不启用。实现方式是启用已预留的机制：core 层事实表带 dim_site 与处置单位维度，身份与授权组件将部门归属解析为过滤条件下推。部门归属数据以 MOI 目录（AD）为长期权威、以 M-06 的本地映射表为过渡；编码以 CAD 的处置单位编码为准，任一用户映射不到有效编码时拒绝放行并告警，不得静默返回空结果。权限判定按当前部门，调岗后不再可见原部门的历史数据；统计口径仍按 5.3 关联当时的维度版本，两者正交。过滤须在查询 API、记录检索、导出、报表订阅分发、对外数据服务与 MCP 绑定全部生效——订阅分发以系统身份运行，须显式携带订阅人的部门上下文，是最易遗漏的一条。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此处印证了一条设计判断：机制预留的代价很小，而事后追加行级安全需要改动表结构与全部查询，属于重构级别的工作。本次由不启用转为启用，因维度与下推接口已经就位，属策略实现而非重构。另需说明，行级安全解决的是可见哪些行，字段级可见性矩阵（10.2）解决的是可见哪些列，两者不可互相替代。</w:t>
      </w:r>
    </w:p>
    <w:p>
      <w:pPr>
        <w:pStyle w:val="Heading2"/>
      </w:pPr>
      <w:r>
        <w:t>10.4  数据分级与脱敏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环境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数据处理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生产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完整数据，按角色访问，全部访问写审计。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 / 集成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生产数据子集，按数据分级策略脱敏（姓名、电话、精确位置、警情描述原文等）。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培训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匿名化数据集，不含任何可回溯到真实个人或真实警情的内容。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具体的分级与脱敏规则需依据 MOI 的数据分级政策确定，列入第 14 章。在取得政策前，按上表的原则起草规则并标注"待确认"。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</w:tblPr>
      <w:tblGrid>
        <w:gridCol w:w="9298"/>
      </w:tblGrid>
      <w:tr>
        <w:tc>
          <w:tcPr>
            <w:tcW w:type="dxa" w:w="9298"/>
            <w:shd w:val="clear" w:fill="FDEEEE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91C1C"/>
                <w:sz w:val="20"/>
              </w:rPr>
              <w:t>两项前置门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RFP 2.7.9.5 规定数据分类政策须经 MOI 批准后，方可在生产与培训环境实施任何数据库；2.7.9.11 规定 DLP 登记册须经 MOI 批准后，方可部署任何数据存储。这两项是关键路径上的里程碑前置条件，不是可以与开发并行推进的文档工作——未获批准，生产环境无法上线。且两者都需要与 MOI 共同制定，不是单向索取，因此启动时间应当早于通常的估计。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t>10.5  传输与存储保护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所有外部接口使用 TLS；数据库连接使用 TLS；对象存储访问使用 HTTPS。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对象存储不向客户端直接暴露，一律经媒体服务签发短时效凭证访问。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数据库与备份存储启用静态加密（依赖平台能力，见第 14 章）。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服务间调用使用内部网络段，与用户流量、复制流量分离（NW-01）。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任何虚机不具备互联网出向访问（NW-03）。</w:t>
      </w:r>
    </w:p>
    <w:p>
      <w:pPr>
        <w:pStyle w:val="Heading2"/>
      </w:pPr>
      <w:r>
        <w:t>10.6  离线补丁与镜像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系统在无互联网访问的环境中运行（RFP 1.2.1.20）。所有操作系统与软件包通过内网镜像源分发；镜像内容的更新由离线介质导入并留痕。容器镜像同样由内部仓库提供，不从公网拉取。</w:t>
      </w:r>
    </w:p>
    <w:p>
      <w:r>
        <w:br w:type="page"/>
      </w:r>
    </w:p>
    <w:p>
      <w:pPr>
        <w:pStyle w:val="Heading1"/>
      </w:pPr>
      <w:r>
        <w:t>11  高可用与容灾</w:t>
      </w:r>
    </w:p>
    <w:p>
      <w:pPr>
        <w:pStyle w:val="Heading2"/>
      </w:pPr>
      <w:r>
        <w:t>11.1  服务水平目标与推论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RFP 1.5.2.9 规定数据库解决方案为服务等级 1（99.999%），BI、报表与仪表板为服务等级 2（99.99%），且按日考核。按日考核这一点是整个高可用设计的出发点：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928"/>
        <w:gridCol w:w="1247"/>
        <w:gridCol w:w="1361"/>
        <w:gridCol w:w="4309"/>
      </w:tblGrid>
      <w:tr>
        <w:trPr>
          <w:tblHeader/>
        </w:trPr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服务等级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可用性</w:t>
            </w:r>
          </w:p>
        </w:tc>
        <w:tc>
          <w:tcPr>
            <w:tcW w:type="dxa" w:w="136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每日容差</w:t>
            </w:r>
          </w:p>
        </w:tc>
        <w:tc>
          <w:tcPr>
            <w:tcW w:type="dxa" w:w="430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推论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等级 1（数据库）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99.999%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0.86 秒</w:t>
            </w:r>
          </w:p>
        </w:tc>
        <w:tc>
          <w:tcPr>
            <w:tcW w:type="dxa" w:w="43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任何需要人工介入的切换都不可能达标，必须自动切换；数据库层禁止资源超分。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等级 2（BI 与报表）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99.99%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8.64 秒</w:t>
            </w:r>
          </w:p>
        </w:tc>
        <w:tc>
          <w:tcPr>
            <w:tcW w:type="dxa" w:w="43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服务层各组件必须成对部署并分散在不同主机。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按月考核可以用一次长故障加二十九天正常来抵消，按日考核不能。这决定了本设计中若干看似保守的选择——同步复制、自动切换、禁止超分、禁止自动迁移——并不是保守，而是被考核方式直接推导出来的。</w:t>
      </w:r>
    </w:p>
    <w:p>
      <w:pPr>
        <w:pStyle w:val="Heading2"/>
      </w:pPr>
      <w:r>
        <w:t>11.2  复制策略与故障行为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7148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D-Fig11-1-HA-Topolog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14876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rFonts w:ascii="微软雅黑" w:hAnsi="微软雅黑" w:eastAsia="微软雅黑"/>
          <w:b w:val="0"/>
          <w:color w:val="4B5563"/>
          <w:sz w:val="17"/>
        </w:rPr>
        <w:t>图 11-1  High Availability Topology and Failure Behaviour   高可用拓扑与故障行为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928"/>
        <w:gridCol w:w="3402"/>
        <w:gridCol w:w="3515"/>
      </w:tblGrid>
      <w:tr>
        <w:trPr>
          <w:tblHeader/>
        </w:trPr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节点</w:t>
            </w:r>
          </w:p>
        </w:tc>
        <w:tc>
          <w:tcPr>
            <w:tcW w:type="dxa" w:w="340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角色</w:t>
            </w:r>
          </w:p>
        </w:tc>
        <w:tc>
          <w:tcPr>
            <w:tcW w:type="dxa" w:w="351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复制方式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PG-PRIMARY</w:t>
            </w:r>
          </w:p>
        </w:tc>
        <w:tc>
          <w:tcPr>
            <w:tcW w:type="dxa" w:w="34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写入，系统记录</w:t>
            </w:r>
          </w:p>
        </w:tc>
        <w:tc>
          <w:tcPr>
            <w:tcW w:type="dxa" w:w="351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PG-STANDBY</w:t>
            </w:r>
          </w:p>
        </w:tc>
        <w:tc>
          <w:tcPr>
            <w:tcW w:type="dxa" w:w="34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零数据丢失的切换目标</w:t>
            </w:r>
          </w:p>
        </w:tc>
        <w:tc>
          <w:tcPr>
            <w:tcW w:type="dxa" w:w="351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同步复制，RPO = 0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PG-REPLICA</w:t>
            </w:r>
          </w:p>
        </w:tc>
        <w:tc>
          <w:tcPr>
            <w:tcW w:type="dxa" w:w="34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承担全部报表与仪表板查询</w:t>
            </w:r>
          </w:p>
        </w:tc>
        <w:tc>
          <w:tcPr>
            <w:tcW w:type="dxa" w:w="351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异步复制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Patroni 是数据库角色变更的唯一权威。这一点必须在虚拟化平台层面得到配合：虚拟化平台的高可用重启机制不得自行判断并重启数据库虚机。两套独立的故障切换机制作用于同一集群，会切出双主，属于数据损坏级别的事故。</w:t>
      </w:r>
    </w:p>
    <w:p>
      <w:pPr>
        <w:pStyle w:val="Heading2"/>
      </w:pPr>
      <w:r>
        <w:t>11.3  RPO 与 RTO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1928"/>
        <w:gridCol w:w="5216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指标</w:t>
            </w:r>
          </w:p>
        </w:tc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目标值</w:t>
            </w:r>
          </w:p>
        </w:tc>
        <w:tc>
          <w:tcPr>
            <w:tcW w:type="dxa" w:w="5216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实现方式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RPO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521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主备同步复制，提交在备库落盘后才返回。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RTO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不超过 2 分钟</w:t>
            </w:r>
          </w:p>
        </w:tc>
        <w:tc>
          <w:tcPr>
            <w:tcW w:type="dxa" w:w="521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Patroni 自动检测与提升，应用经 HAProxy 重连，无人工步骤。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报表可用性降级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不中断</w:t>
            </w:r>
          </w:p>
        </w:tc>
        <w:tc>
          <w:tcPr>
            <w:tcW w:type="dxa" w:w="521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分析副本失效时，报表查询转向同步备库以只读方式服务，性能下降但不停止。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11.4  同步复制的降级决策树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同步复制使每一次提交都等待网络往返与备库落盘。这一选择成立的前提是两项基础设施条件：主备之间往返时延不超过 1 毫秒（NW-02），数据库数据卷的 99 分位写入时延不超过 2 毫秒（ST-03）。若这两项条件在实际环境中无法满足，需要按下表决策，而不是在故障时临时判断。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928"/>
        <w:gridCol w:w="2608"/>
        <w:gridCol w:w="4309"/>
      </w:tblGrid>
      <w:tr>
        <w:trPr>
          <w:tblHeader/>
        </w:trPr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条件</w:t>
            </w:r>
          </w:p>
        </w:tc>
        <w:tc>
          <w:tcPr>
            <w:tcW w:type="dxa" w:w="260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决策</w:t>
            </w:r>
          </w:p>
        </w:tc>
        <w:tc>
          <w:tcPr>
            <w:tcW w:type="dxa" w:w="430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后果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两项条件均满足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维持同步复制（synchronous_commit = on）</w:t>
            </w:r>
          </w:p>
        </w:tc>
        <w:tc>
          <w:tcPr>
            <w:tcW w:type="dxa" w:w="43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RPO = 0，符合本设计的默认承诺。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时延轻度超标，写入吞吐仍可接受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降为 remote_write</w:t>
            </w:r>
          </w:p>
        </w:tc>
        <w:tc>
          <w:tcPr>
            <w:tcW w:type="dxa" w:w="43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备库收到但未必已落盘；备库主机瞬时掉电时可能丢失极少量已提交事务。须书面记录。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条件明显无法满足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改为异步复制</w:t>
            </w:r>
          </w:p>
        </w:tc>
        <w:tc>
          <w:tcPr>
            <w:tcW w:type="dxa" w:w="43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RPO 不再为 0，须重新协商服务水平承诺。此为需上报的决策，不由实施人员自行决定。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备库故障期间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临时降级，主库继续服务并告警</w:t>
            </w:r>
          </w:p>
        </w:tc>
        <w:tc>
          <w:tcPr>
            <w:tcW w:type="dxa" w:w="43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不允许因备库不可用而阻塞主库写入。备库恢复后自动回到同步状态。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11.5  备份与恢复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项目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设计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备份方式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全量、增量与 WAL 归档，支持任意时间点恢复。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存储介质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独立于数据库数据存储（ST-02）。备份与其所保护的数据共享故障域，不构成备份。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恢复演练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定期演练并在 M-09 中留痕。未经演练的备份不计为有效备份。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对象存储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媒体对象独立备份策略，按容量与重要性分级。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配置与代码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契约注册表、模型与部署脚本由 Git 保管，不依赖数据库备份。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11.6  服务水平举证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本项目由我方自行举证服务水平达成情况。这可行，但成立的前提是判定口径不能同样由我方单方面决定，否则争议发生时一句"你的测量方法不算数"即可推翻全部数据。因此以下三项须在实施前取得总包商或 MOI 的书面认可。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需要确认的内容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探测点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从哪一侧发起探测、是否经过对方网络、探测频率。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失败判定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单次失败即计不可用，还是连续 N 次；响应超过多少毫秒计为失败。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数据留存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监控数据独立留存、只增不改、保留期与考核期一致。</w:t>
            </w:r>
          </w:p>
        </w:tc>
      </w:tr>
    </w:tbl>
    <w:p>
      <w:pPr>
        <w:spacing w:before="0" w:after="1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</w:tblPr>
      <w:tblGrid>
        <w:gridCol w:w="9298"/>
      </w:tblGrid>
      <w:tr>
        <w:tc>
          <w:tcPr>
            <w:tcW w:type="dxa" w:w="9298"/>
            <w:shd w:val="clear" w:fill="FDEEEE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91C1C"/>
                <w:sz w:val="20"/>
              </w:rPr>
              <w:t>一句直白的提醒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没有事先谈定判定口径的自证，等同于没有证据。建议将本节内容整理为接口文件，在实施启动前发给总包商确认。</w:t>
            </w:r>
          </w:p>
        </w:tc>
      </w:tr>
    </w:tbl>
    <w:p>
      <w:pPr>
        <w:spacing w:before="0" w:after="160"/>
      </w:pPr>
    </w:p>
    <w:p>
      <w:r>
        <w:br w:type="page"/>
      </w:r>
    </w:p>
    <w:p>
      <w:pPr>
        <w:pStyle w:val="Heading1"/>
      </w:pPr>
      <w:r>
        <w:t>12  部署架构</w:t>
      </w:r>
    </w:p>
    <w:p>
      <w:pPr>
        <w:pStyle w:val="Heading2"/>
      </w:pPr>
      <w:r>
        <w:t>12.1  虚机资源需求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全部虚拟化部署，本项目不采购硬件，仅提出资源与放置要求。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474"/>
        <w:gridCol w:w="1134"/>
        <w:gridCol w:w="1020"/>
        <w:gridCol w:w="1361"/>
        <w:gridCol w:w="1361"/>
        <w:gridCol w:w="2494"/>
      </w:tblGrid>
      <w:tr>
        <w:trPr>
          <w:tblHeader/>
        </w:trPr>
        <w:tc>
          <w:tcPr>
            <w:tcW w:type="dxa" w:w="147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环境</w:t>
            </w:r>
          </w:p>
        </w:tc>
        <w:tc>
          <w:tcPr>
            <w:tcW w:type="dxa" w:w="113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虚机数</w:t>
            </w:r>
          </w:p>
        </w:tc>
        <w:tc>
          <w:tcPr>
            <w:tcW w:type="dxa" w:w="1020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vCPU</w:t>
            </w:r>
          </w:p>
        </w:tc>
        <w:tc>
          <w:tcPr>
            <w:tcW w:type="dxa" w:w="136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内存 (GB)</w:t>
            </w:r>
          </w:p>
        </w:tc>
        <w:tc>
          <w:tcPr>
            <w:tcW w:type="dxa" w:w="136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存储 (TB)</w:t>
            </w:r>
          </w:p>
        </w:tc>
        <w:tc>
          <w:tcPr>
            <w:tcW w:type="dxa" w:w="249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生产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146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572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47.4</w:t>
            </w:r>
          </w:p>
        </w:tc>
        <w:tc>
          <w:tcPr>
            <w:tcW w:type="dxa" w:w="249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完整高可用，承载 1.5.2.9 的服务等级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 / 集成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80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3.5</w:t>
            </w:r>
          </w:p>
        </w:tc>
        <w:tc>
          <w:tcPr>
            <w:tcW w:type="dxa" w:w="249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系统集成测试、验收测试与发布验证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培训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64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0.9</w:t>
            </w:r>
          </w:p>
        </w:tc>
        <w:tc>
          <w:tcPr>
            <w:tcW w:type="dxa" w:w="249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按角色培训（RFP 1.7）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合计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182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716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51.8</w:t>
            </w:r>
          </w:p>
        </w:tc>
        <w:tc>
          <w:tcPr>
            <w:tcW w:type="dxa" w:w="249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不含对象存储的增长余量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数据库三台（主库、同步备库、分析副本）各 16 vCPU、64 至 96 GB 内存、4 TB 数据盘，100% 内存预留；etcd 三台提供仲裁；负载均衡、应用、实时、ETL、身份、监控各成对部署；对象存储三节点；备份库一台。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45309"/>
          <w:left w:val="single" w:sz="4" w:space="0" w:color="B45309"/>
          <w:bottom w:val="single" w:sz="4" w:space="0" w:color="B45309"/>
          <w:right w:val="single" w:sz="4" w:space="0" w:color="B45309"/>
          <w:insideH w:val="single" w:sz="4" w:space="0" w:color="B45309"/>
          <w:insideV w:val="single" w:sz="4" w:space="0" w:color="B45309"/>
        </w:tblBorders>
      </w:tblPr>
      <w:tblGrid>
        <w:gridCol w:w="9298"/>
      </w:tblGrid>
      <w:tr>
        <w:tc>
          <w:tcPr>
            <w:tcW w:type="dxa" w:w="9298"/>
            <w:shd w:val="clear" w:fill="FDF4E7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45309"/>
                <w:sz w:val="20"/>
              </w:rPr>
              <w:t>对象存储容量存在五倍差异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按低估算（10% 警情携带 3 张照片、每张 2 MB）八年约需 10 TB；按高估算（30% 携带 5 张）约需 50 TB。当前按低估算提出 3 × 8 TB。实际值取决于 MDS 与 E-Assist 现场媒体的真实比例、张数以及是否含视频，需由业务方确认（第 14 章 D-01）。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t>12.2  放置与隔离要求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虚机规格本身不产生可用性。主机与存储的隔离方式决定服务等级能否达成。以下要求是本设计的可靠性基础，构成对基础设施提供方的输入。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71487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D-Fig12-1-Placement-and-Isol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14876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rFonts w:ascii="微软雅黑" w:hAnsi="微软雅黑" w:eastAsia="微软雅黑"/>
          <w:b w:val="0"/>
          <w:color w:val="4B5563"/>
          <w:sz w:val="17"/>
        </w:rPr>
        <w:t>图 12-1  Physical Placement and Storage Isolation   物理放置与存储隔离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907"/>
        <w:gridCol w:w="6463"/>
        <w:gridCol w:w="1474"/>
      </w:tblGrid>
      <w:tr>
        <w:trPr>
          <w:tblHeader/>
        </w:trPr>
        <w:tc>
          <w:tcPr>
            <w:tcW w:type="dxa" w:w="90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646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要求</w:t>
            </w:r>
          </w:p>
        </w:tc>
        <w:tc>
          <w:tcPr>
            <w:tcW w:type="dxa" w:w="147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关键级别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PL-01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三台 PostgreSQL 虚机分别位于三台不同的物理主机，任何时刻不得两台同宿。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PL-02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三个 etcd 成员位于三台不同物理主机。仲裁丢失将使自动切换失效。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PL-03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每一对高可用组件（LB、APP、RT、ETL、IAM、MON）至少跨两台物理主机。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PL-04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三个对象存储节点位于三台不同物理主机。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PL-05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上述分组跨至少两个机架，机架具备独立供电与独立接入交换。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ST-01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主库与同步备库的数据卷位于不同的物理存储；至少不同控制器与不同 LUN。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ST-02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备份仓库位于独立于数据库数据存储的介质。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ST-03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数据库数据卷厚置备并保证 IOPS，99 分位写入时延不超过 2 毫秒。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RS-01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承载数据库与 etcd 的主机不得超分 CPU 与内存；内存 100% 预留，禁用气球与交换。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RS-02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上述主机的 CPU 就绪时间保持在 5% 以下。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OP-01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禁用数据库虚机的自动在线迁移；迁移须人工计划执行。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OP-02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不对数据库虚机做平台级定期快照。平台快照也不是有效的数据库备份。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OP-03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平台高可用重启机制不得与 Patroni 竞争；Patroni 为角色变更的唯一权威。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OP-04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全部虚机与 CAD、话务平台使用同一时钟源，漂移不超过 50 毫秒。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NW-01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复制流量、应用流量与管理流量使用独立网络段。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NW-02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主库与同步备库之间往返时延不超过 1 毫秒。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NW-03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任何虚机不具备互联网出向访问；补丁经内网镜像源分发。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</w:tr>
    </w:tbl>
    <w:p>
      <w:pPr>
        <w:spacing w:before="0" w:after="1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</w:tblPr>
      <w:tblGrid>
        <w:gridCol w:w="9298"/>
      </w:tblGrid>
      <w:tr>
        <w:tc>
          <w:tcPr>
            <w:tcW w:type="dxa" w:w="9298"/>
            <w:shd w:val="clear" w:fill="FDEEEE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91C1C"/>
                <w:sz w:val="20"/>
              </w:rPr>
              <w:t>ST-01 是最常被遗漏的一条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仅做主机反亲和是不充分的保护：两台虚机分散在两台主机上，而虚拟磁盘却由同一个 LUN 切出，存储侧一旦故障两台同时失效，同步复制反而使业务完全停止。这一条必须逐项落实到存储映射表。</w:t>
            </w:r>
          </w:p>
        </w:tc>
      </w:tr>
    </w:tbl>
    <w:p>
      <w:pPr>
        <w:spacing w:before="0" w:after="16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另有一项限制需要明确说明：在只有两个机架的条件下，总有一个机架承载三个 etcd 成员中的两个。该机架整体失效时数据库仍可服务，但自动切换失效，需人工提升。要在机架整体失效时仍保持自动切换，需要第三个机架或异地仲裁节点。这是仲裁机制的固有约束，配置调整无法规避。</w:t>
      </w:r>
    </w:p>
    <w:p>
      <w:pPr>
        <w:pStyle w:val="Heading2"/>
      </w:pPr>
      <w:r>
        <w:t>12.3  三套环境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474"/>
        <w:gridCol w:w="4195"/>
        <w:gridCol w:w="1247"/>
        <w:gridCol w:w="1928"/>
      </w:tblGrid>
      <w:tr>
        <w:trPr>
          <w:tblHeader/>
        </w:trPr>
        <w:tc>
          <w:tcPr>
            <w:tcW w:type="dxa" w:w="147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环境</w:t>
            </w:r>
          </w:p>
        </w:tc>
        <w:tc>
          <w:tcPr>
            <w:tcW w:type="dxa" w:w="419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用途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高可用</w:t>
            </w:r>
          </w:p>
        </w:tc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数据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生产</w:t>
            </w:r>
          </w:p>
        </w:tc>
        <w:tc>
          <w:tcPr>
            <w:tcW w:type="dxa" w:w="419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业务运行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完整数据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 / 集成</w:t>
            </w:r>
          </w:p>
        </w:tc>
        <w:tc>
          <w:tcPr>
            <w:tcW w:type="dxa" w:w="419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系统集成测试、性能演练、发布验证（RFP 1.6.9）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不要求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脱敏子集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培训</w:t>
            </w:r>
          </w:p>
        </w:tc>
        <w:tc>
          <w:tcPr>
            <w:tcW w:type="dxa" w:w="419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按角色培训（RFP 1.7）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不要求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匿名化数据集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12.4  发布流程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全部配置、模型与部署脚本由 Git 管理，环境差异以参数区分，不维护多套脚本。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部署使用 Ansible 与容器运行时，镜像来自内部仓库。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发布路径为测试至培训至生产，每一级须通过既定的验证项。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生产发布须有回滚方案与回滚演练记录。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运行参数的热调不走发布流程，但写入审计（9.2）。</w:t>
      </w:r>
    </w:p>
    <w:p>
      <w:r>
        <w:br w:type="page"/>
      </w:r>
    </w:p>
    <w:p>
      <w:pPr>
        <w:pStyle w:val="Heading1"/>
      </w:pPr>
      <w:r>
        <w:t>13  多站演进预留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麦地那为独立合同，不在本次交付范围内。但若将来形成双中心互备，事后改造的代价远高于现在预留。本设计包含四项预留，均为低成本项。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587"/>
        <w:gridCol w:w="3742"/>
        <w:gridCol w:w="1814"/>
        <w:gridCol w:w="1928"/>
      </w:tblGrid>
      <w:tr>
        <w:trPr>
          <w:tblHeader/>
        </w:trPr>
        <w:tc>
          <w:tcPr>
            <w:tcW w:type="dxa" w:w="158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预留项</w:t>
            </w:r>
          </w:p>
        </w:tc>
        <w:tc>
          <w:tcPr>
            <w:tcW w:type="dxa" w:w="374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内容</w:t>
            </w:r>
          </w:p>
        </w:tc>
        <w:tc>
          <w:tcPr>
            <w:tcW w:type="dxa" w:w="181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现在的成本</w:t>
            </w:r>
          </w:p>
        </w:tc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事后追加的成本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站点维度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所有事实表与关键维度带 dim_site；报表与指标均可按站点过滤或汇总。</w:t>
            </w:r>
          </w:p>
        </w:tc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增加一个维度字段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改表结构与全部模型、报表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全局唯一主键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主键在全局范围内唯一，不依赖单站自增序列。</w:t>
            </w:r>
          </w:p>
        </w:tc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主键生成策略的一次选择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数据合并时的主键冲突处理，代价极高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接入契约与位点语义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事件契约与位点语义已定义，新增站点的数据源只是注册表中的新条目。</w:t>
            </w:r>
          </w:p>
        </w:tc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已包含在第 4 章设计中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重做接入框架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参数化部署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部署脚本以参数区分站点，不维护多套脚本。</w:t>
            </w:r>
          </w:p>
        </w:tc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部署脚本的一次规范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维护多套脚本并长期分叉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需要说明的是，本次不实现跨站复制、不实现跨站故障切换、不承诺双中心的服务水平。预留的含义是"届时可以扩展"，不是"已经具备"。</w:t>
      </w:r>
    </w:p>
    <w:p>
      <w:r>
        <w:br w:type="page"/>
      </w:r>
    </w:p>
    <w:p>
      <w:pPr>
        <w:pStyle w:val="Heading1"/>
      </w:pPr>
      <w:r>
        <w:t>14  待定项登记表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下列事项在本版定稿时尚未取得答复。相关章节按建议值撰写并标注"待确认"，不构成承诺。本表是项目管理的抓手：每一项有明确的责任方与所需答复内容，未获答复所造成的影响在此白纸黑字记录。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color w:val="4B5563"/>
          <w:sz w:val="20"/>
        </w:rPr>
        <w:t>本表是摘要。完整的假设与信息需求登记见交接包 HD-03，其中列有 28 条假设（含依据与推翻后果）与 36 项待收集信息（含向谁收集与建议问法）。两份文件的编号可相互对照：本表的 T 编号对应 HD-03 的 AS 与 IR 编号。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850"/>
        <w:gridCol w:w="1701"/>
        <w:gridCol w:w="2608"/>
        <w:gridCol w:w="1361"/>
        <w:gridCol w:w="2608"/>
      </w:tblGrid>
      <w:tr>
        <w:trPr>
          <w:tblHeader/>
        </w:trPr>
        <w:tc>
          <w:tcPr>
            <w:tcW w:type="dxa" w:w="850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type="dxa" w:w="260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需要的答复</w:t>
            </w:r>
          </w:p>
        </w:tc>
        <w:tc>
          <w:tcPr>
            <w:tcW w:type="dxa" w:w="136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责任方</w:t>
            </w:r>
          </w:p>
        </w:tc>
        <w:tc>
          <w:tcPr>
            <w:tcW w:type="dxa" w:w="260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未解决的影响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T-01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DS 数据字典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在范围内的表与列清单、业务含义，以及代码与枚举字段的取值含义。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语义映射进度不可预测；第一批核心字段的 2 至 3 周估算不成立。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T-02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DS 水位线机制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水位线字段；是否存在单调递增序号；软删除或变更日志的表达方式。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只有时间戳时须加回看窗口兜底；无软删除表达则历史统计与 CAD 自身长期不一致且无法解释。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T-03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DS 可重放窗口与结构变更通知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展示库保留多少天可重放；结构变更的通知承诺。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重放窗口不足将限制口径修正的追溯范围。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T-04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ICP 接口文档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是否提供历史事件接口；限流、分页与鉴权方式。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ICP / 华为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决定坐席状态时长类指标的精度上限（见 4.6.3）；无文档则该类指标不宜承诺精度。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T-05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警情与通话的关联基数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一起警情是否可能关联多个通话；非电话渠道警情是否无通话标识。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我方验证 + DS 确认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决定事实表粒度与全过程指标的分母定义。可用真实数据验证，不阻塞设计。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T-06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CAD 维度是否双语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警情类别、单位、辖区等维度是否具备双语名称字段。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若无，需我方维护双语对照表，属于新增工作量（7.4）。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T-07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归档库迁移范围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历史数据起始年份；迁移后的对账口径与验收报表。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 / 实施阶段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不影响设计，只影响容量估算与实施排期（4.6.1）。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T-08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服务水平判定口径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探测点、失败判定标准、监控数据留存要求。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总包商 / MOI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未事先认可则自证无效（11.6）。建议实施启动前完成。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T-09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现场媒体容量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MDS 与 E-Assist 携带媒体的警情占比、张数、大小，是否含视频。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业务方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对象存储容量在 10 TB 与 50 TB 之间相差五倍（12.1）。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T-10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数据分级与脱敏政策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 的数据分级政策与脱敏要求。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测试与培训环境的数据准备规则无法定稿（10.4）。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T-11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审计保留期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审计留痕的合规保留年限。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按 8 年起草。若要求更长，影响 audit 分区与存储估算（9.4）。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T-12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报表投递通道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 现有的邮件或文件投递方式。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订阅分发的实现方式待定（7.4）。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T-13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时钟源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与 CAD、话务平台共用的 NTP 源。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总包商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无共同时钟则跨系统事件时序与秒级服务水平测量无法互相印证（OP-04）。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T-14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放置与隔离要求的可满足性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虚拟化平台能否满足第 12.2 节的十七条要求；数据库层可用的存储等级与保证性能。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基础设施提供方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任何一条不能满足，须重新评估相应的服务水平承诺，而不是调整设计（11.6）。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T-15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静态加密能力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平台是否提供数据库与备份存储的静态加密。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基础设施提供方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影响 10.5 的实现方式。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T-16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大屏功能对照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POC 大屏各元素是否均有真实数据源支撑。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我方核对 + DS 确认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预期已被 POC 锚定，功能覆盖低于它会被视为倒退（8.3）。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T-17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移动端推送路径（已消解）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无须再答。系统设有 DMZ 区与短信、邮件网关，移动端本期按只读聚合看板交付，不使用设备推送。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—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已消解，见 8.4 与交接包 AS-09。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T-18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四十张报表与"复刻现有报表"的关系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两者是同一批，还是复刻项另行计数。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MOI（建议经 Q&amp;A）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直接决定交付量。按另计理解，报表交付量可能接近翻倍（7.4）。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T-19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数据分类政策与 DLP 登记册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与 MOI 共同制定并取得批准。两者均为生产上线的前置条件。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关键路径前置门。未获批准，生产与培训环境的数据库无法上线（10.4）。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T-20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ESB 的提供方与规格冻结时间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ESB 由谁提供，接口规格何时冻结。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总包商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RFP 1.6.2.31.2 要求的适配器交付时间取决于此，不由本方控制（7.7）。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T-21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迁移方案的提交期限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RFP 2.7.7.3 规定合同授予后两个月内提交分步迁移方案。需确认起算时点与提交对象。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 / 项目管理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硬期限，且依赖对现有环境的分析已完成。应作为项目计划的固定里程碑（4.6.1）。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T-22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客户反馈数据的采集方与形态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反馈由谁采集、以何种形式提供给本系统。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 / 总包商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RFP 1.6.2.17 要求将反馈纳入 BI。若采集也属本方范围，属新增工作量（3.3 · 8.2）。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T-23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CAD 维度是否具备双语名称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警情类别、单位、辖区等维度是否有阿英双语字段。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若无，需本方维护双语对照表，属新增工作量（7.4）。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T-24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MDM 分发与 DMZ 接入规范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MDM 的应用分发方式与签名要求；DMZ 反向代理的接入规范与可用端口；DMZ 至内网服务层的防火墙策略申请流程。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总包商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移动端（IF-40）无法进入联调与上线（8.4 · 对应 IR-37）。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T-25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迁移范围内日志类数据的量级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现有系统 system logs 与 access logs 自 2016 年起的记录数与容量。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 / 现有运维方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同时影响容量估算、迁移排期，以及是否需要引入列存加速层（2.3 · 4.6.1 · 对应 IR-38）。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T-26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 目录增设部门组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AD 能否为调度员与主管增设部门组，以及可用时间表。当前目录仅有 call taker 与 dispatcher 两类角色。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 / 总包商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行级安全的长期权威来源。AD 就绪前以 M-06 本地映射表过渡，交付不阻塞（10.3 · 对应 IR-39）。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T-27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部门归属名册与编码对应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在岗调度员与主管的部门归属名册，及其与 CAD 处置单位编码的对应关系。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 业务 + DS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行级过滤的初始数据。编码不一致时过滤结果为空而非报错，属最难发现的一类缺陷（10.3 · 对应 IR-40）。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T-28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CAD 对外部信息的落库形态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报警人位置是坐标还是地址文本、是否含精度与来源标记；人员与车辆是派单快照还是带时间序列的状态记录；外部查询结果是否全部持久化。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DS（并入数据字典）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决定空间分析与资源类指标能否交付：位置若仅为地址文本需地理编码；资源若仅有派单快照则资源可用率无法计算（4.6.2 · 8.2 · 对应 IR-41）。</w:t>
            </w:r>
          </w:p>
        </w:tc>
      </w:tr>
    </w:tbl>
    <w:p>
      <w:pPr>
        <w:spacing w:before="0" w:after="140"/>
      </w:pPr>
    </w:p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1D4ED8"/>
          <w:left w:val="single" w:sz="4" w:space="0" w:color="1D4ED8"/>
          <w:bottom w:val="single" w:sz="4" w:space="0" w:color="1D4ED8"/>
          <w:right w:val="single" w:sz="4" w:space="0" w:color="1D4ED8"/>
          <w:insideH w:val="single" w:sz="4" w:space="0" w:color="1D4ED8"/>
          <w:insideV w:val="single" w:sz="4" w:space="0" w:color="1D4ED8"/>
        </w:tblBorders>
      </w:tblPr>
      <w:tblGrid>
        <w:gridCol w:w="9298"/>
      </w:tblGrid>
      <w:tr>
        <w:tc>
          <w:tcPr>
            <w:tcW w:type="dxa" w:w="9298"/>
            <w:shd w:val="clear" w:fill="F1F5F9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1D4ED8"/>
                <w:sz w:val="20"/>
              </w:rPr>
              <w:t>关于本表的用法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本表不是免责声明，而是进度管理工具。第 4 章的接入框架经过专门设计，使 T-01 至 T-03 的答复最终只是接入契约中若干字段的取值，因此这些事项不阻塞设计定稿与开发启动。真正需要尽早推动的有四项：T-08（服务水平判定口径）与 T-14（放置与隔离要求），因为它们的答复可能改变的是承诺本身而不是实现方式；以及 T-18（报表数量的解读）与 T-19（两项前置门），前者直接决定交付量，后者是生产上线的关卡。</w:t>
            </w:r>
          </w:p>
        </w:tc>
      </w:tr>
    </w:tbl>
    <w:p>
      <w:pPr>
        <w:spacing w:before="0" w:after="160"/>
      </w:pPr>
    </w:p>
    <w:p>
      <w:pPr>
        <w:spacing w:before="0" w:after="320"/>
      </w:pP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— 本文件结束 —</w:t>
      </w:r>
    </w:p>
    <w:sectPr w:rsidR="00FC693F" w:rsidRPr="0006063C" w:rsidSect="00034616">
      <w:footerReference w:type="default" r:id="rId18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