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31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r>
              <w:rPr>
                <w:rFonts w:ascii="微软雅黑" w:hAnsi="微软雅黑" w:eastAsia="微软雅黑"/>
                <w:b w:val="0"/>
                <w:sz w:val="18"/>
              </w:rPr>
              <w:t>11</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48 项（其中 IR-32 已关闭、IR-13 部分已答复）。紧急度为“高”的项目，其答复会改变设计选择、交付范围或承诺内容，应在设计冻结前取得。IR-47 与 IR-48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33</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r>
              <w:rPr>
                <w:rFonts w:ascii="微软雅黑" w:hAnsi="微软雅黑" w:eastAsia="微软雅黑"/>
                <w:b w:val="0"/>
                <w:sz w:val="16"/>
              </w:rP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