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0"/>
      </w:pP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color w:val="1D4ED8"/>
          <w:sz w:val="36"/>
        </w:rPr>
        <w:t>OSS911 麦加 911 运营中心</w:t>
      </w:r>
    </w:p>
    <w:p>
      <w:pPr>
        <w:spacing w:before="0" w:after="360"/>
        <w:jc w:val="center"/>
      </w:pPr>
      <w:r>
        <w:rPr>
          <w:rFonts w:ascii="微软雅黑" w:hAnsi="微软雅黑" w:eastAsia="微软雅黑"/>
          <w:b/>
          <w:color w:val="1D4ED8"/>
          <w:sz w:val="36"/>
        </w:rPr>
        <w:t>商业智能与数据仓库子系统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/>
          <w:color w:val="111827"/>
          <w:sz w:val="48"/>
        </w:rPr>
        <w:t>服务层与接口详细设计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Detailed Design — Service Layer and Interfaces   ( LD-04 )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color w:val="111827"/>
          <w:sz w:val="24"/>
        </w:rPr>
        <w:t>版本  v0.1</w:t>
      </w:r>
    </w:p>
    <w:p>
      <w:pPr>
        <w:spacing w:before="0" w:after="2200"/>
        <w:jc w:val="center"/>
      </w:pPr>
      <w:r>
        <w:rPr>
          <w:rFonts w:ascii="微软雅黑" w:hAnsi="微软雅黑" w:eastAsia="微软雅黑"/>
          <w:b w:val="0"/>
          <w:color w:val="4B5563"/>
          <w:sz w:val="22"/>
        </w:rPr>
        <w:t>2026 年 9 月</w:t>
      </w:r>
    </w:p>
    <w:p>
      <w:pPr>
        <w:spacing w:before="0" w:after="6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本册定义服务层的出口路径与接口契约：查询 API、记录检索、受控 SQL、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实时推送、投递服务、对外数据服务与 ESB，以及 AI 集成的四个接口。</w:t>
      </w:r>
    </w:p>
    <w:p>
      <w:r>
        <w:br w:type="page"/>
      </w:r>
    </w:p>
    <w:p>
      <w:pPr>
        <w:pStyle w:val="Heading1"/>
      </w:pPr>
      <w:r>
        <w:t>1  本册的范围与读法</w:t>
      </w:r>
    </w:p>
    <w:p>
      <w:pPr/>
      <w:r>
        <w:t>本册细化 HLD v0.3 第 7 章，回答的是「数据以什么形式离开这个系统、谁能拿到、拿到的东西附带什么声明」。指标怎么算在 LD-03，权限怎么判在 LD-07，界面怎么用这些接口在 LD-05。</w:t>
      </w:r>
    </w:p>
    <w:p>
      <w:pPr/>
      <w:r>
        <w:t>服务层是本系统对外访问的唯一出口。展现层、移动端、AI 包、ESB 调用方、外部系统一律经服务层，任何组件都不得直连数据库。这条约束若不成立，LD-07 的三层权限与本册的审计留痕将全部失去意义——绕过服务层的一次查询，既不受字段裁剪与行过滤约束，也不会在审计里留下任何痕迹。因此提出直连需求的场景必须走变更评审，而不是由实施人员就地开个只读账号了事。</w:t>
      </w:r>
    </w:p>
    <w:p/>
    <w:p>
      <w:pPr>
        <w:pStyle w:val="Heading1"/>
      </w:pPr>
      <w:r>
        <w:t>2  出口路径的全集</w:t>
      </w:r>
    </w:p>
    <w:p>
      <w:pPr/>
      <w:r>
        <w:t>把出口路径列全，是本册第一件要做的事。原因在 LD-07 第 3 章已经说过：权限必须在每一条出口上生效，漏掉一条，前面所有的权限设计就都只是装饰。因此这里不按「主要接口」列举，而是穷举——包括那些以系统身份运行、没有人在屏幕前的路径。</w:t>
      </w:r>
    </w:p>
    <w:p/>
    <w:p>
      <w:pPr/>
      <w:r>
        <w:t>最后两条值得说明为什么列在这里。受控 SQL 与库副本交付都不是「接口」，但它们同样是数据离开系统的方式，而且是权限约束最弱的两种。把它们和 REST 接口并列在同一张表上，是为了让「哪些路径能拿到数据」这个问题只有一个答案来源。</w:t>
      </w:r>
    </w:p>
    <w:p>
      <w:pPr>
        <w:pStyle w:val="Heading1"/>
      </w:pPr>
      <w:r>
        <w:t>3  查询 API</w:t>
      </w:r>
    </w:p>
    <w:p>
      <w:pPr>
        <w:pStyle w:val="Heading2"/>
      </w:pPr>
      <w:r>
        <w:t>3.1  语义：按指标查，不按表查</w:t>
      </w:r>
    </w:p>
    <w:p>
      <w:pPr/>
      <w:r>
        <w:t>查询 API 的入参是指标编码、维度组合、过滤条件、时间范围与时间粒度，不是表名与列名。指标定义由语义层解析为 SQL，调用方看不到也不需要看到底层表结构。</w:t>
      </w:r>
    </w:p>
    <w:p>
      <w:pPr/>
      <w:r>
        <w:t>这样设计的代价是灵活性——调用方不能随便组合任意两列。收益是口径唯一：同一个指标编码在门户、报表、移动端、对外接口上解析成同一段 SQL，不存在「前端自己拼了一个稍有不同的算法」这种问题，而后者是 BI 系统中数字对不上的最常见成因。</w:t>
      </w:r>
    </w:p>
    <w:p/>
    <w:p>
      <w:pPr>
        <w:pStyle w:val="Heading2"/>
      </w:pPr>
      <w:r>
        <w:t>3.2  执行位置与保护</w:t>
      </w:r>
    </w:p>
    <w:p>
      <w:pPr/>
      <w:r>
        <w:t>查询一律在分析副本执行，只读，任何情况下不触碰主库。这不是性能优化，是隔离：一条写错的分析查询不应当有能力影响接警业务所依赖的写入路径。</w:t>
      </w:r>
    </w:p>
    <w:p/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分区条件按指标或检索的归日依据推导，不一刀切（DD-79，更正 DD-78 第三条）。发生日语义——发生类指标、按发生时间的记录检索——同时带 date_key 范围与时间列范围，前者裁剪分区，后者在分区内走索引。关闭日语义——结案类指标、按关闭时间的检索——不得加 date_key 下界：一张单据可以开很久，发生日下界无从得知，加了即静默漏掉跨期关闭的单据；只允许加安全上界 date_key &lt;= 结束日（发生不可能晚于关闭），由 closed_date_key 索引定位。结案类指标的查询 API 走按关闭日聚合的 mart，不直接扫 core。每个指标属哪一类以 LD-03 的分类与指标注册表为准，服务层不自行判断。归日翻译使用 LD-02 第 6 章的时区规则。本条同样适用于第 4 章的记录检索。</w:t>
      </w:r>
    </w:p>
    <w:p>
      <w:pPr>
        <w:pStyle w:val="Heading2"/>
      </w:pPr>
      <w:r>
        <w:t>3.3  缓存键必须含完整权限上下文</w:t>
      </w:r>
    </w:p>
    <w:p>
      <w:pPr/>
      <w:r>
        <w:t>缓存键由指标、维度、过滤条件、时间范围、口径版本、数据发布序号，加上调用者的完整权限上下文共同构成。权限上下文包括角色、字段可见性白名单的指纹，以及部门行过滤的取值。</w:t>
      </w:r>
    </w:p>
    <w:p>
      <w:pPr/>
      <w:r>
        <w:t>口径版本与数据发布序号是两件事（DD-81）。口径版本标识算法；数据发布序号标识数据——mart 每发布一次（夜间构建或封账后的修正发布）序号加一。封账数据经迟到修正后生成 close_version 加一的行，口径版本与「是否封账」都不变，若缓存键只含这两项，同一查询会一直命中修正前的结果。纳入发布序号后，修正一经发布，旧缓存全部自然失效，无需逐条清除。按日期范围精细失效可以提高命中率，但须维护「哪次发布影响了哪些日期」，夜间一次发布的节奏下不值得，先用全局序号。</w:t>
      </w:r>
    </w:p>
    <w:p>
      <w:pPr/>
      <w:r>
        <w:t>三项缺一不可，而且这一条是被修正过的：设计中曾只把字段白名单指纹纳入缓存键，那样只防住了列泄漏，防不住行泄漏——A 部门的调度员查完之后，B 部门的调度员命中同一份缓存，看到的是 A 部门的行（DD-50）。字段与行是两个独立的维度，缓存键必须同时覆盖。</w:t>
      </w:r>
    </w:p>
    <w:p>
      <w:pPr/>
      <w:r>
        <w:t>随之而来的是缓存命中率下降，因为不同部门的同一查询不再共享缓存。这是正确的代价：一个会串数据的缓存，命中率再高也没有意义。</w:t>
      </w:r>
    </w:p>
    <w:p>
      <w:pPr>
        <w:pStyle w:val="Heading2"/>
      </w:pPr>
      <w:r>
        <w:t>3.4  四个响应元字段</w:t>
      </w:r>
    </w:p>
    <w:p>
      <w:pPr/>
      <w:r>
        <w:t>每一个响应都携带四个元字段，它们不是调试信息，是数据本身的一部分。对外调用方（IF-33）同样收到，因为口径声明对机器调用方比对人更重要——人还会看报表脚注，机器不会。</w:t>
      </w:r>
    </w:p>
    <w:p>
      <w:pPr/>
      <w:r>
        <w:t>查询可指定数据版本：latest（默认，含全部修正）、as_closed（原封账版，不含封账后的修正）、或指定某一 close_version。响应元字段中的版本声明同时写明所用的数据发布序号与 close_version。打印或导出的报表因此能写明自己用的是哪一版，「去年那张报表今年原样重出」才兑现得了（DD-81 · DD-08 · DD-12）。</w:t>
      </w:r>
    </w:p>
    <w:p/>
    <w:p>
      <w:pPr/>
      <w:r>
        <w:t>查询范围超出 meta.metric_availability 的可用年份时，不返回空结果，而是在响应中明示「该时段源端无此数据」并指名限制字段，由展现层原样呈现（LD-01 6.8 · DD-57）。空结果与「源端没有这个字段」在数字上都是零，含义却完全不同，而使用者无从分辨——这正是必须由服务层显式区分的理由。</w:t>
      </w:r>
    </w:p>
    <w:p>
      <w:pPr>
        <w:pStyle w:val="Heading1"/>
      </w:pPr>
      <w:r>
        <w:t>4  记录检索</w:t>
      </w:r>
    </w:p>
    <w:p>
      <w:pPr/>
      <w:r>
        <w:t>RFP 1.6.2.7 要求按记录检索——按案件号、电话号码、时间范围、地点查到具体的那一条，而不是聚合出来的数。这是一个独立组件，不是查询 API 的一个参数（DD-34）。</w:t>
      </w:r>
    </w:p>
    <w:p>
      <w:pPr/>
      <w:r>
        <w:t>把它单列的理由是两者的性质完全不同。查询 API 面向聚合，落在 mart 层，结果集小，缓存有效；记录检索面向个体，落在 core 层的事实表，要走分区裁剪与精确索引，且返回的是包含个人信息的明细。两者的权限判定、审计粒度、性能特征、缓存策略没有一项相同，硬塞进同一个接口只会让两边都别扭。</w:t>
      </w:r>
    </w:p>
    <w:p/>
    <w:p>
      <w:pPr>
        <w:pStyle w:val="Heading1"/>
      </w:pPr>
      <w:r>
        <w:t>5  实时推送与投递</w:t>
      </w:r>
    </w:p>
    <w:p>
      <w:pPr>
        <w:pStyle w:val="Heading2"/>
      </w:pPr>
      <w:r>
        <w:t>5.1  实时推送网关（IF-31）</w:t>
      </w:r>
    </w:p>
    <w:p>
      <w:pPr/>
      <w:r>
        <w:t>实时状态服务以独立连接池短周期拉取源系统的当前状态，在内存中维护「此刻」视图并计算变化量，经 WebSocket 网关按角色与部门过滤后推送。两个实例之间用 PostgreSQL 的 LISTEN / NOTIFY 保持一致，不为此引入新的中间件。</w:t>
      </w:r>
    </w:p>
    <w:p>
      <w:pPr/>
      <w:r>
        <w:t>这条路径不写数据库。实时状态是对另一个系统的观测，不是本系统自己的记录；落库会制造出同一批事实的第二个版本——更快，但更不可靠——而所有关于「哪个数字是对的」的争论都会从这里开始。因此它只存在于内存中，随进程结束而消失，也因此它不能用于统计与考核。</w:t>
      </w:r>
    </w:p>
    <w:p>
      <w:pPr>
        <w:pStyle w:val="Heading2"/>
      </w:pPr>
      <w:r>
        <w:t>5.2  断线重连：回送快照而非补发事件</w:t>
      </w:r>
    </w:p>
    <w:p>
      <w:pPr/>
      <w:r>
        <w:t>客户端保存收到的最后一个序号，重连时提交该序号，网关回送一份完整的状态快照，而不是补发期间的全部事件。一块中断两小时的大屏在一次往返后即恢复正确，无需人工干预。</w:t>
      </w:r>
    </w:p>
    <w:p>
      <w:pPr/>
      <w:r>
        <w:t>补发事件的方案需要网关为每个客户端保留事件队列，队列长度无上界（谁也不知道一块大屏会断多久），且重放期间的顺序与幂等都要处理。回送快照把这些问题一次性消掉，代价只是一次全量传输。对于「此刻视图」这种本来就只关心当前值的数据，历史事件没有保留价值。</w:t>
      </w:r>
    </w:p>
    <w:p>
      <w:pPr/>
      <w:r>
        <w:t>权限在订阅建立时判定，并在每次推送时复核。只在建立时判定是不够的：一个长连接可能存续数小时，期间用户的部门归属或角色可能已经变更，而按 LD-07 的规则权限判定按当前状态而非订阅时状态。</w:t>
      </w:r>
    </w:p>
    <w:p>
      <w:pPr>
        <w:pStyle w:val="Heading2"/>
      </w:pPr>
      <w:r>
        <w:t>5.3  投递服务：以系统身份运行的那条路径</w:t>
      </w:r>
    </w:p>
    <w:p>
      <w:pPr/>
      <w:r>
        <w:t>报表订阅与告警分发由统一投递服务承担：两类内容（报表产物、告警消息）乘三条通道（邮件网关、短信网关、门户内消息）。订阅由人配置，但执行时没有人在屏幕前——它以系统身份运行。</w:t>
      </w:r>
    </w:p>
    <w:p>
      <w:pPr/>
      <w:r>
        <w:t>这是全系统最容易漏掉权限的一条路径，因此明确写死：报表内容按订阅者本人的权限上下文渲染，而不是按配置者的、也不是按某个服务账号的。一个部门主管订阅了一张全局报表，他收到的邮件里只应有他有权看到的那些行与那些列。</w:t>
      </w:r>
    </w:p>
    <w:p/>
    <w:p>
      <w:pPr>
        <w:pStyle w:val="Heading2"/>
      </w:pPr>
      <w:r>
        <w:t>5.4  媒体服务</w:t>
      </w:r>
    </w:p>
    <w:p>
      <w:pPr/>
      <w:r>
        <w:t>对象存储不对客户端直接暴露。媒体服务负责鉴权、签发短时效访问凭证、记录访问留痕。现场照片、报表产物与 AI 导出文件均通过该服务访问。</w:t>
      </w:r>
    </w:p>
    <w:p>
      <w:pPr/>
      <w:r>
        <w:t>凭证短时效且一次性，过期即失效。理由是一个长期有效的对象存储直链一旦出现在浏览器历史、邮件正文或聊天记录里，就脱离了本系统的一切控制。</w:t>
      </w:r>
    </w:p>
    <w:p>
      <w:pPr>
        <w:pStyle w:val="Heading1"/>
      </w:pPr>
      <w:r>
        <w:t>6  受控 SQL</w:t>
      </w:r>
    </w:p>
    <w:p>
      <w:pPr/>
      <w:r>
        <w:t>受控 SQL 是唯一绕过指标语义层、直接向分析副本提交 SQL 的通道。它的存在理由是现实的：总会有一次分析是预置指标覆盖不到的，而没有这个通道，人们就会去要一个数据库账号——那才是真正失控的开始。</w:t>
      </w:r>
    </w:p>
    <w:p>
      <w:pPr>
        <w:pStyle w:val="Heading2"/>
      </w:pPr>
      <w:r>
        <w:t>6.1  只给自然人，不给系统</w:t>
      </w:r>
    </w:p>
    <w:p>
      <w:pPr/>
      <w:r>
        <w:t>受控 SQL 只授权给自然人，不授权给任何系统或服务账号。系统之间取数一律走服务层接口（DD-51）。</w:t>
      </w:r>
    </w:p>
    <w:p>
      <w:pPr/>
      <w:r>
        <w:t>这一条在讨论中曾经放宽过：一度考虑允许把最高权限角色授予一个系统主体，由调用方自负数据安全。放弃的理由是责任无法落地——「调用方负责」需要有一个能负责的对象，而一个服务账号不会为泄漏承担任何后果，它背后的责任人也不会自动出现在任何一张表里。因此 meta.sql_grant 的表结构上就写死了这一点：responsible_party 为必填，且 directory_verified 有 CHECK 约束、默认值缺省即无法插入，迫使授权动作显式声明「已核实该主体在目录中存在且为自然人账号」这件事做过了。</w:t>
      </w:r>
    </w:p>
    <w:p/>
    <w:p>
      <w:pPr>
        <w:pStyle w:val="Heading2"/>
      </w:pPr>
      <w:r>
        <w:t>6.2  执行约束</w:t>
      </w:r>
    </w:p>
    <w:p/>
    <w:p>
      <w:pPr>
        <w:pStyle w:val="Heading1"/>
      </w:pPr>
      <w:r>
        <w:t>7  对外数据服务与 ESB（IF-33）</w:t>
      </w:r>
    </w:p>
    <w:p>
      <w:pPr/>
      <w:r>
        <w:t>RFP 在三处分别要求对外提供数据，因此这是必须交付项而非可选能力。鉴权采用 OAuth2 客户端凭证，路径版本化。</w:t>
      </w:r>
    </w:p>
    <w:p/>
    <w:p>
      <w:pPr/>
      <w:r>
        <w:t>对外调用方同样收到四个响应元字段。这既是数据质量的声明，也是本方指标口径的技术表达——一个机器调用方拿到未封账的当日临时值却不知道它是临时值，比人拿到更危险，因为它不会犹豫。</w:t>
      </w:r>
    </w:p>
    <w:p>
      <w:pPr/>
      <w:r>
        <w:t>路径版本化的含义是口径变更不修改既有版本的行为：新口径开新版本路径，旧版本按约定期限并行,到期下线并提前通知。对外接口一旦被别的系统集成，就不再是本方可以单方面改动的东西。</w:t>
      </w:r>
    </w:p>
    <w:p>
      <w:pPr>
        <w:pStyle w:val="Heading1"/>
      </w:pPr>
      <w:r>
        <w:t>8  AI 集成的四个接口</w:t>
      </w:r>
    </w:p>
    <w:p>
      <w:pPr/>
      <w:r>
        <w:t>AI 能力由联合体内的 AI 包实现，本方交付集成接口（DD-28）。四个接口分属两个方向，边界必须清楚：本方供数与承载回流，不做推断；AI 包做推断，不直接读库。</w:t>
      </w:r>
    </w:p>
    <w:p/>
    <w:p>
      <w:pPr>
        <w:pStyle w:val="Heading2"/>
      </w:pPr>
      <w:r>
        <w:t>8.1  为什么 AI 包不生成 SQL</w:t>
      </w:r>
    </w:p>
    <w:p>
      <w:pPr/>
      <w:r>
        <w:t>让模型直接生成 SQL 看似省事，实则把三件事一起交了出去：口径的正确性、权限的完整性、以及查询对数据库的影响。生成的 SQL 绕过指标语义层就绕过了口径唯一性，绕过服务层的过滤下推就绕过了权限，而一条模型生成的全表扫描没有任何东西拦得住它。</w:t>
      </w:r>
    </w:p>
    <w:p>
      <w:pPr/>
      <w:r>
        <w:t>因此 IF-38 提供的是语义目录加结构化查询：AI 包表达「要什么」，本方决定「怎么取」。这与 DD-51 拒绝把受控 SQL 开给系统主体是同一条推理。</w:t>
      </w:r>
    </w:p>
    <w:p>
      <w:pPr>
        <w:pStyle w:val="Heading2"/>
      </w:pPr>
      <w:r>
        <w:t>8.2  MCP 绑定</w:t>
      </w:r>
    </w:p>
    <w:p>
      <w:pPr/>
      <w:r>
        <w:t>IF-38 以 REST-JSON 为第一绑定，MCP 为第二绑定，二者语义等价、共用同一套语义目录与权限下推，不是两套实现（DD-29）。MCP 规范版本冻结在 2026-07-28，写入组件清单。</w:t>
      </w:r>
    </w:p>
    <w:p>
      <w:pPr/>
      <w:r>
        <w:t>MCP 作为可选增补项的判断依据是：它降低 AI 侧的接入成本，但本方的交付不依赖它成立。若 AI 包选择 REST 绑定，MCP 绑定不启用亦不影响任何验收项。</w:t>
      </w:r>
    </w:p>
    <w:p>
      <w:pPr>
        <w:pStyle w:val="Heading1"/>
      </w:pPr>
      <w:r>
        <w:t>9  移动端对外面（IF-40）</w:t>
      </w:r>
    </w:p>
    <w:p>
      <w:pPr/>
      <w:r>
        <w:t>移动端为只读聚合看板，形态为原生薄壳加内嵌页面。它不是接警员与调度员的作业工具，因此不做记录级下钻——记录检索接口对移动端令牌一律拒绝，这是接口层的硬拒绝，不是界面上不放入口。</w:t>
      </w:r>
    </w:p>
    <w:p/>
    <w:p>
      <w:pPr>
        <w:pStyle w:val="Heading1"/>
      </w:pPr>
      <w:r>
        <w:t>10  错误与契约稳定性</w:t>
      </w:r>
    </w:p>
    <w:p>
      <w:pPr>
        <w:pStyle w:val="Heading2"/>
      </w:pPr>
      <w:r>
        <w:t>10.1  错误必须可分辨</w:t>
      </w:r>
    </w:p>
    <w:p>
      <w:pPr/>
      <w:r>
        <w:t>接口错误的分类不是工程洁癖，而是因为「没有数据」在数字上永远是零，而它可能出自五种完全不同的原因。使用者无从分辨，只能由服务层显式区分。</w:t>
      </w:r>
    </w:p>
    <w:p/>
    <w:p>
      <w:pPr/>
      <w:r>
        <w:t>第三种情形值得单独强调：映射不上时静默返回空是最难发现的一类缺陷——使用者看到的是「本部门今天没有警情」，而事实是他的部门编码对不上（T-27）。</w:t>
      </w:r>
    </w:p>
    <w:p>
      <w:pPr>
        <w:pStyle w:val="Heading2"/>
      </w:pPr>
      <w:r>
        <w:t>10.2  契约稳定性</w:t>
      </w:r>
    </w:p>
    <w:p>
      <w:pPr/>
      <w:r>
        <w:t>OpenAPI 规范为接口的权威定义，随版本发布。对内接口（展现层）与对外接口（IF-33、IF-37 至 IF-39）的变更纪律不同：前者可与前端同步发布，后者按 7 章的版本化规则处理。</w:t>
      </w:r>
    </w:p>
    <w:p>
      <w:pPr/>
      <w:r>
        <w:t>响应中新增字段视为兼容变更，删除或改变既有字段语义视为不兼容变更。这条界线要写进接口文件，因为「我们只是把某个字段的含义调整了一下」在集成方那里等同于一次故障。</w:t>
      </w:r>
    </w:p>
    <w:p>
      <w:pPr>
        <w:pStyle w:val="Heading1"/>
      </w:pPr>
      <w:r>
        <w:t>11  交付物</w:t>
      </w:r>
    </w:p>
    <w:p/>
    <w:p>
      <w:pPr>
        <w:pStyle w:val="Heading1"/>
      </w:pPr>
      <w:r>
        <w:t>12  待确认项</w:t>
      </w:r>
    </w:p>
    <w:p/>
    <w:p>
      <w:pPr/>
      <w:r>
        <w:t>这五项中只有 ESB 规格会阻塞一部分详细设计，其余四项影响的是交付量或对侧协作，不影响本册已定的接口形态与权限规则。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文件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与本册的关系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LD-03 指标与口径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查询 API 的语义由指标注册表定义；四个响应元字段的取值规则在 LD-03 第 7 章。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LD-07 安全与权限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三层权限的判定规则与下推接口。本册只写「在哪些出口调用它」，不重复判定逻辑。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LD-05 / LD-05A 展现层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本册的接口契约是展现层的输入。LD-05 依赖本册定稿。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LD-02 数据模型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查询落到哪些表、走哪个副本。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HD-04 决策登记册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DD-31 · DD-34 · DD-35 · DD-50 · DD-51 · DD-29 是本册的直接依据。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出口路径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触发者与身份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查询 API（IF-30）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交互式，携带用户令牌。BI 门户、仪表板、大屏的数据来源。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记录检索（IF-30 的子集）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交互式，携带用户令牌。独立组件，见第 4 章。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实时推送（IF-31 · WSS）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交互式建立订阅，此后由服务端主动推送。权限在订阅建立时判定并在推送时复核。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报表渲染与订阅分发（IF-34）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订阅由人配置，执行时以系统身份运行。这是最容易漏掉权限的一条路径，见 5.3。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媒体服务（IF-18 的对外面）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交互式或由报表引用，签发短时效凭证。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对外数据服务与 ESB（IF-33）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机器对机器，OAuth2 客户端凭证。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AI 数据服务（IF-37 · IF-38 · IF-39）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机器对机器，AI 包的服务账号。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移动端（IF-40，经 DMZ）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交互式，独立令牌受众。只读聚合，记录级接口拒绝。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受控 SQL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仅自然人，见第 6 章。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数据库副本交付物（REQ-DB-06）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不是运行时路径，但它把整库交出去了，须在此登记以免被遗忘。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入参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说明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metric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指标编码，可多个。全部来自 meta.metric_registry，未注册的编码直接拒绝而非返回空。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dimensions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维度组合。语义层校验该维度对该指标是否合法——粒度不匹配的组合拒绝，不做静默降级。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filters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过滤条件。只接受维度成员与时间范围，不接受任意表达式，更不接受 SQL 片段。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granularity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时间粒度：日、周、月、季、年。小时粒度仅对话务类指标开放。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range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时间范围。与 meta.metric_availability 比对，超出可用年份时按 3.4 处理。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locale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ar 或 en。决定维度成员名称取 name_ar 还是 name_en，以及 pending_reconfirm 时的回落行为（LD-01 9.2）。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保护措施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取值与理由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并发限流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按角色与按调用方分别设限。对外调用方（IF-33）与 AI 包（IF-37）各有独立配额，互不挤占。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结果集上限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超限返回错误并提示改用导出，不做静默截断。静默截断会让调用方拿到一份看起来完整的部分数据。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查询超时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按三档响应时间承诺分别设定（DD-36）。超时即中止并记录，不允许长查询累积。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结果缓存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缓存键必须包含完整权限上下文，见 3.3。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元字段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含义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口径版本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本次计算所用的指标定义版本。口径变更后，同一查询在不同时间可能给出不同的数，此字段是唯一能解释这件事的东西。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数据时点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数据截止到哪一刻。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封账状态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已封账为权威值；未封账为当日临时值。报表与对外数据以封账值为准（LD-03 第 4 章）。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是否依赖未验证映射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本指标是否用到状态为 mapped_unverified 的列。为真时不代表数据错，代表这个数还没有人对着源端确认过。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方面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记录检索的特殊处置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权限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字段级可见性矩阵在此处最吃紧——明细行里有报警人电话与位置。裁列在服务端完成，不可见字段不出现在响应中，而不是返回后由前端隐藏。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审计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逐次记录：谁、什么时候、用什么条件、命中多少条、是否导出。审计粒度细于聚合查询，因为这里查的是具体的人和事。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缓存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不缓存。个体明细的缓存收益极小，而风险与 3.3 同源。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结果上限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严格上限并强制分页。宽泛条件（如只给一个月份）返回错误，要求补充限定条件——一次能捞走一个月全部明细的检索接口，等同于一个导出接口。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检索条件登记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可用的检索条件集合登记在 meta.search_criteria，不接受任意字段。新增条件是一次配置变更，须评估其索引支持与权限影响。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环节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规则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渲染时的权限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以订阅者本人当前的权限上下文渲染。订阅者调岗后收到的内容随之变化，与他此刻登录门户看到的一致。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订阅者已失效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订阅者账号被停用或失去该报表的可见性时，停止投递并通知管理员，不静默继续也不静默丢弃。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投递留痕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投递时间、目标网关、返回码、重试次数，只增不改。这是交接点：出了网关就是总包商的责任范围。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失败重试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有限次重试后转告警。两个网关由总包商运维，其故障不计入本方服务水平（DD-08 类推）。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告警内容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只含定位信息，不含数据本体——告警要走出内网，经 DMZ。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授权字段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作用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principal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MOI 目录中的自然人账号。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directory_verified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CHECK 约束强制为真。授权前必须已核实主体存在且为自然人。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responsible_party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责任方。「数据安全由调用方负责」须有对象，否则出事无从追责。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allow_export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导出单独控制、单独记审计、可单独关闭——一旦导出，责任边界就延伸到了个人电脑上。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daily_query_quota · max_rows · statement_timeout_ms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配额、行数与超时。三者都有默认值，不允许无限制授权。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expires_at · is_revoked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到期与吊销。长期有效的高权限授权最终都会变成没人记得的授权。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约束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规则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执行位置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仅分析副本，只读事务。主库不可达。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语句类型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仅 SELECT。DDL、DML 与函数创建一律拒绝。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可见范围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全库只读：获授后可见分析副本上的全部业务数据，包括敏感字段；不再按字段可见性矩阵与部门行过滤限制。理由：用户自写的 SQL 无法由服务层拼入过滤条件。授权名单由 MOI 以行政管理手段控制，本方在数据分类政策输入稿中明示该风险（DD-80 · LD-07 第 5 章）。只读、仅走分析副本、超时与结果集上限等技术护栏照旧保留。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审计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全文记录 SQL 原文、执行时间、返回行数、是否导出。只增不改。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配额耗尽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拒绝并告警，不排队。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能力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说明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警情与告警的 Web 服务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按 RFP 规定的形态对外提供。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库结构的数据服务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维度与指标的元数据查询，使调用方无需预先知道内部结构。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ESB 适配器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按 MOI 的 ESB 规格实现。规格待取得，列入待确认项。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接口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方向与内容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IF-07  AI 包 至 接入层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推断结果回流。经标准接入契约进 raw，与其它数据源同等对待——不因为它来自联合体内部就跳过校验与隔离。最终落 core.fact_ai_inference，带模型标识、版本、运行时刻与置信度。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IF-37  服务层 至 AI 包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数据服务供数：实体级宽表点查、批量导出（Parquet 或 CSV 落对象存储）、媒体关联索引。批量扫描走分析副本、限流、错峰执行。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IF-38  服务层 至 AI 包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语义目录与结构化查询。AI 包不生成 SQL——它拿到的是指标与维度的目录，提交的是结构化的查询意图，由本方语义层解析。MCP 作为第二种绑定（DD-29）。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IF-39  服务层 至 AI 包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报表叙述块生成调用。异步或可降级：超时即跳过，报表照常出，叙述块留空。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约束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规则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网络路径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经 DMZ 反向代理进入。手机不在内网，即便使用 MDM 提供的 VPN 亦然。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令牌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独立受众、独立有效期、独立限流。移动端令牌在其它出口路径上无效。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可用接口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仅聚合查询与推送订阅。记录检索、导出、受控 SQL 一律拒绝。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推送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不走 FCM 或 APNs——内政部数据不经第三方推送服务。打开应用后拉取即可（DD-30）。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情形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响应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查询合法，确实没有匹配数据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空结果集，元字段正常。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时段超出指标可用年份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明示「该时段源端无此数据」并指名限制字段（3.4）。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权限不足以看到这些行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按 LD-07 的规则处置——部门映射不上时拒绝放行并告警，不静默返回空。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查询本身不合法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拒绝并说明哪一项不合法：未注册的指标、粒度不匹配的维度组合、过宽的检索条件。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超限或超时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明确的超限错误，提示改用导出或缩小范围。不做静默截断。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交付物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形态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OpenAPI 规范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查询 API、记录检索、对外数据服务、AI 数据服务的完整定义。随版本发布，与实现同源生成。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WSS 协议说明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订阅、序号、重连与快照回送的报文格式。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AI 包接口协议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IF-07 与 IF-37 至 IF-39 的接口文件，含语义目录的结构与 MCP 绑定说明。与 AI 包方共同确认后冻结。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ESB 适配器规格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待取得 MOI 的 ESB 规格后编制。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编号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未决内容与影响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IR-38（T-18）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报表数量的解读：复刻现有麦加中心报表是否包含在四十张之内。直接决定交付量，不影响本册的接口形态。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ESB 规格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MOI 的 ESB 接口规格尚未取得。IF-33 的适配器部分无法编制详细设计，其余两项能力不受影响。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IF-06 客户反馈来源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采集方与数据形态待确认，接入方式随之待定。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AI 包接口的对侧确认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IF-37 至 IF-39 的语义目录结构须与 AI 包方共同冻结。本方已定义边界（8.1），但字段级契约需双方签字。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IF-36 时钟源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与 CAD、话务平台同源，漂移不超过 50 毫秒。时钟源待确认——推送序号与实时口径对账都依赖它。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微软雅黑" w:hAnsi="微软雅黑" w:eastAsia="微软雅黑"/>
        <w:b w:val="0"/>
        <w:sz w:val="21"/>
      </w:rPr>
      <w:t xml:space="preserve">  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8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