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31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49 项（其中 IR-32 已关闭、IR-13 部分已答复）。紧急度为“高”的项目，其答复会改变设计选择、交付范围或承诺内容，应在设计冻结前取得。IR-47、IR-48 与 IR-49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34</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