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0"/>
      </w:pP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OSS911 麦加 911 运营中心</w:t>
      </w:r>
    </w:p>
    <w:p>
      <w:pPr>
        <w:spacing w:before="0" w:after="36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商业智能与数据仓库子系统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/>
          <w:color w:val="111827"/>
          <w:sz w:val="48"/>
        </w:rPr>
        <w:t>数据模型详细设计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Detailed Design — Data Model   ( LD-02 )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11827"/>
          <w:sz w:val="24"/>
        </w:rPr>
        <w:t>版本  v0.1</w:t>
      </w:r>
    </w:p>
    <w:p>
      <w:pPr>
        <w:spacing w:before="0" w:after="2200"/>
        <w:jc w:val="center"/>
      </w:pPr>
      <w:r>
        <w:rPr>
          <w:rFonts w:ascii="微软雅黑" w:hAnsi="微软雅黑" w:eastAsia="微软雅黑"/>
          <w:b w:val="0"/>
          <w:color w:val="4B5563"/>
          <w:sz w:val="22"/>
        </w:rPr>
        <w:t>2026 年 9 月</w:t>
      </w:r>
    </w:p>
    <w:p>
      <w:pPr>
        <w:spacing w:before="0" w:after="6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本册定义 core 层的业务对象模型、逐表结构、粒度与口径落点，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以及 raw、staging、mart、ai、meta、audit 六层的结构规范。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1  本册的范围与读法</w:t>
      </w:r>
    </w:p>
    <w:p>
      <w:pPr/>
      <w:r>
        <w:rPr>
          <w:rFonts w:ascii="微软雅黑" w:hAnsi="微软雅黑" w:eastAsia="微软雅黑"/>
          <w:b w:val="0"/>
          <w:sz w:val="21"/>
        </w:rPr>
        <w:t>本册细化 HLD v0.3 第 5 章。它回答的是"表长什么样、每一行代表什么、口径落在哪一层"，不回答"指标怎么算"（LD-03）与"接口怎么调"（LD-04）。</w:t>
      </w:r>
    </w:p>
    <w:p>
      <w:pPr/>
      <w:r>
        <w:rPr>
          <w:rFonts w:ascii="微软雅黑" w:hAnsi="微软雅黑" w:eastAsia="微软雅黑"/>
          <w:b w:val="0"/>
          <w:sz w:val="21"/>
        </w:rPr>
        <w:t>结构性内容以 SQL 形式交付，不在正文中贴全文。DDL 位于同目录 ddl/ 下，是 Git 中受控的结构性配置（HLD 9.2），变更须走发布流程。正文只写规则、取舍与理由——这些是 SQL 里写不下的部分。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文件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内容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ddl/01_schemas_and_helpers.sql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七个 schema、代理键函数、坐标系配置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ddl/02_core_dimensions.sql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core 维度表，含缓变维列约定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ddl/03_core_facts.sql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core 事实表，含五层单据树、桥表与 AI 回流表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ddl/04_meta_and_audit.sql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meta 与 audit 全部对象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ddl/05_partitions_and_indexes.sql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分区函数与索引策略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上述脚本已在 PostgreSQL 16 加 PostGIS 3 上完整执行通过，并以样例数据验证了单据树、桥表关联、分区路由、代理键的确定性与行级过滤条件的可下推性。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2  业务对象模型</w:t>
      </w:r>
    </w:p>
    <w:p>
      <w:pPr/>
      <w:r>
        <w:rPr>
          <w:rFonts w:ascii="微软雅黑" w:hAnsi="微软雅黑" w:eastAsia="微软雅黑"/>
          <w:b w:val="0"/>
          <w:sz w:val="21"/>
        </w:rPr>
        <w:t>CAD 的单据是一棵树，每个上级节点可指向多个下层节点；改派与增派都是新增节点，不是修改原节点。通话与接警单之间是多对多——掉线重拨、回拨与多人报警都由 CAD 合并到同一张接警单。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层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事实表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一行代表什么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core.fact_call_leg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一张 ICP 话单 ＝ 一通电话经过的一个设备（IVR · 技能队列 · 坐席）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core.fact_call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一通电话（来源 ICP）。由腿级聚合构建，不独立接入（DD-66）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core.bridge_call_intake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一条通话与接警单的关联，带角色与来源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core.fact_intake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一张接警单。本系统中即案件粒度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core.fact_dispatch_order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一张派警单 ＝ 接警单 × 警种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core.fact_turnout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一张出警单 ＝ 派警单 × 警员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core.fact_feedback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一张反馈单 ＝ 出警单 × 第 N 次反馈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旁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core.fact_agent_session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一段坐席签入区间（来源 ICP 明细接口）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旁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core.fact_agent_day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一名坐席一天的状态时长累计（来源 ICP 平台历史指标，DD-65）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旁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core.fact_ai_inference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一条 AI 推断结果（经 IF-07 回流）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1C1C"/>
          <w:left w:val="single" w:sz="4" w:space="0" w:color="B91C1C"/>
          <w:bottom w:val="single" w:sz="4" w:space="0" w:color="B91C1C"/>
          <w:right w:val="single" w:sz="4" w:space="0" w:color="B91C1C"/>
          <w:insideH w:val="single" w:sz="4" w:space="0" w:color="B91C1C"/>
          <w:insideV w:val="single" w:sz="4" w:space="0" w:color="B91C1C"/>
        </w:tblBorders>
      </w:tblPr>
      <w:tblGrid>
        <w:gridCol w:w="9298"/>
      </w:tblGrid>
      <w:tr>
        <w:tc>
          <w:tcPr>
            <w:tcW w:type="dxa" w:w="9298"/>
            <w:shd w:val="clear" w:fill="FDEEEE"/>
          </w:tcPr>
          <w:p>
            <w:pPr>
              <w:spacing w:before="80" w:after="40"/>
            </w:pPr>
            <w:r/>
            <w:r>
              <w:rPr>
                <w:rFonts w:ascii="微软雅黑" w:hAnsi="微软雅黑" w:eastAsia="微软雅黑"/>
                <w:b/>
                <w:color w:val="B91C1C"/>
                <w:sz w:val="20"/>
              </w:rPr>
              <w:t>一个命名陷阱    反馈单（警员的处置反馈）与客户反馈（满意度回访，RFP 1.6.2.17）在中文里同名，含义完全不同。表名与指标名中前者一律用 feedback，后者用 citizen_feedback。不分清楚，客户反馈看板 D-15 会取到一堆警员的处置记录。</w:t>
            </w:r>
          </w:p>
          <w:p>
            <w:pPr>
              <w:spacing w:after="100" w:line="31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凭方案讨论的记忆去理解需求会漏掉硬指标。条款级的逐条复核不可省略。HD-02 追溯矩阵中"需人工复核的条款"一页保留了 32 条尚未被需求直接引用的条款，开发组应在开工前逐条确认它们确实已被领域需求覆盖。这一页不应长期保持非空。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0"/>
        </w:rPr>
        <w:t>3  粒度是本册最重要的一件事</w:t>
      </w:r>
    </w:p>
    <w:p>
      <w:pPr/>
      <w:r>
        <w:rPr>
          <w:rFonts w:ascii="微软雅黑" w:hAnsi="微软雅黑" w:eastAsia="微软雅黑"/>
          <w:b w:val="0"/>
          <w:sz w:val="21"/>
        </w:rPr>
        <w:t>时长类指标的落点由单据树决定，不能挂错层：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指标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起止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粒度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受理时长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应答 → 接警单建立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接警单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派单时长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接警单建立 → 派警单下发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派警单（每警种一个数）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到场时长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派警单下发 → 出警单到场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出警单（每警员一个数）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处置时长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到场 → 出警单结束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出警单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全过程时长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振铃 → 结案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接警单（结案的定义见 3.2）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5"/>
        </w:rPr>
        <w:t>3.1  同一件事，三种平均口径给出三个不同的数</w:t>
      </w:r>
    </w:p>
    <w:p>
      <w:pPr/>
      <w:r>
        <w:rPr>
          <w:rFonts w:ascii="微软雅黑" w:hAnsi="微软雅黑" w:eastAsia="微软雅黑"/>
          <w:b w:val="0"/>
          <w:sz w:val="21"/>
        </w:rPr>
        <w:t>以一起同时派给警察与民防、共出动五名警员的警情为例，用样例数据实测：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口径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分母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结果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按出警单平均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 张出警单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15.20 分钟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按派警单平均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 张派警单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14.17 分钟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按接警单平均（取首个到场）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 张接警单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6.00 分钟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三个数都对，回答的是三个不同的问题。因此指标注册表中每一条都必须显式声明粒度（meta.metric_registry.grain 为非空列），报表标题与口径说明中必须写明按什么平均。含糊其辞的"平均到场时长"不允许进入指标注册表。</w:t>
      </w:r>
    </w:p>
    <w:p>
      <w:pPr/>
      <w:r>
        <w:rPr>
          <w:rFonts w:ascii="微软雅黑" w:hAnsi="微软雅黑" w:eastAsia="微软雅黑"/>
          <w:b w:val="0"/>
          <w:sz w:val="21"/>
        </w:rPr>
        <w:t>M-R05 单位出动次数按出警单计——一张派警单出三名警员即三次出动。R-24 处置单位出动与负荷同理。这一条最容易算错。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3.2  两个需要业务确认的口径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口径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当前处理与待确认点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接警单的结案时间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每张出警单自行管理其结束。CAD 若无接警单级结案字段，则取该接警单下全部出警单结束的最晚时间，并置 is_closed_derived 为真。派生值不得不加标记地进入对外指标。待 DS 确认是否存在独立结案字段。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警情级响应时长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默认按警种分别呈现，另定义"首个到场时长"作为接警单级指标。两者在指标注册表中分别命名，不合并为一个"响应时长"。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5"/>
        </w:rPr>
        <w:t>3.3  话务的粒度不是「一通电话」</w:t>
      </w:r>
    </w:p>
    <w:p>
      <w:pPr/>
      <w:r>
        <w:rPr>
          <w:rFonts w:ascii="微软雅黑" w:hAnsi="微软雅黑" w:eastAsia="微软雅黑"/>
          <w:b w:val="0"/>
          <w:sz w:val="21"/>
        </w:rPr>
        <w:t>ICP 的话单是「呼叫每经过一个设备一行」，一通电话走 IVR、技能队列、坐席会产生多行，靠 CALLID 串起来，CALLIDNUM 为腿内序号（1 为首腿，-1 为末腿）。这不是接口的实现细节，而是话务领域的真实粒度：等待发生在排队腿上，通话发生在坐席腿上，转接表现为同一通呼叫出现第二个坐席腿。</w:t>
      </w:r>
    </w:p>
    <w:p>
      <w:pPr/>
      <w:r>
        <w:rPr>
          <w:rFonts w:ascii="微软雅黑" w:hAnsi="微软雅黑" w:eastAsia="微软雅黑"/>
          <w:b w:val="0"/>
          <w:sz w:val="21"/>
        </w:rPr>
        <w:t>因此话务拆成两张表（DD-66）。core.fact_call_leg 与话单一行一一对应，是唯一的接入落点；core.fact_call 为通话级，由腿级聚合构建，每一列都必须能从腿级重算。按坐席的指标一律从腿级算，通话级只服务于通话粒度的报表与快速归属。</w:t>
      </w:r>
    </w:p>
    <w:p>
      <w:pPr/>
      <w:r>
        <w:rPr>
          <w:rFonts w:ascii="微软雅黑" w:hAnsi="微软雅黑" w:eastAsia="微软雅黑"/>
          <w:b w:val="0"/>
          <w:sz w:val="21"/>
        </w:rPr>
        <w:t>这样做的代价是多一张表和一次聚合，换来的是两件事：一、接入侧不做解释，口径分歧永远能回到话单行上查；二、通话级与腿级不会各自算出一个数——两条路算同一个指标是口径分裂最常见的来源，这里从结构上堵死。</w:t>
      </w:r>
    </w:p>
    <w:p>
      <w:pPr/>
      <w:r>
        <w:rPr>
          <w:rFonts w:ascii="微软雅黑" w:hAnsi="微软雅黑" w:eastAsia="微软雅黑"/>
          <w:b w:val="0"/>
          <w:sz w:val="21"/>
        </w:rPr>
        <w:t>坐席侧同理但方向相反。签入签出平台给的是区间明细，落入 core.fact_agent_session，可按班次窗口求交（DD-53）；而各状态时长平台只给日累计，落入 core.fact_agent_day，不可下钻、不可按班次切分（DD-65）。同一张报表里这两类指标的可切分性不同，须在报表规格中写明。</w:t>
      </w:r>
    </w:p>
    <w:p>
      <w:pPr/>
      <w:r>
        <w:rPr>
          <w:rFonts w:ascii="微软雅黑" w:hAnsi="微软雅黑" w:eastAsia="微软雅黑"/>
          <w:b w:val="0"/>
          <w:sz w:val="21"/>
        </w:rPr>
        <w:t>随之补上两处原本缺失的落点。core.dim_queue 是技能队列维（SCD2，双语名）——此前话务事实只有队列编码而无维度，报表按技能队列分组时拿不到名字，改名后历史报表也会跟着变。需要强调的是技能队列是路由能力标签，不是组织结构，更不是 CAD 的警种：技能队列决定这通电话由谁接，警种决定接完之后派谁去，二者禁止一对一映射。另有 meta.reference_value 作为小码表的统一落点（休息原因、业务类型、等待与离开原因），行数少、无需 SCD2、不值得各建一张维度表；源端删除时置为非当前而不删行，因为历史事实仍引用它。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4  代理键：确定性 UUID，不用自增序列</w:t>
      </w:r>
    </w:p>
    <w:p>
      <w:pPr/>
      <w:r>
        <w:rPr>
          <w:rFonts w:ascii="微软雅黑" w:hAnsi="微软雅黑" w:eastAsia="微软雅黑"/>
          <w:b w:val="0"/>
          <w:sz w:val="21"/>
        </w:rPr>
        <w:t>全部 core 事实与维度的代理键由 core.sk(站点, 源系统, 自然键) 生成，是基于站点命名空间的 UUID v5。缓变维用 core.sk_scd()，把生效时间纳入计算，使同一实体的每个版本得到各自的键。</w:t>
      </w:r>
    </w:p>
    <w:p>
      <w:pPr/>
      <w:r>
        <w:rPr>
          <w:rFonts w:ascii="微软雅黑" w:hAnsi="微软雅黑" w:eastAsia="微软雅黑"/>
          <w:b w:val="0"/>
          <w:sz w:val="21"/>
        </w:rPr>
        <w:t>选它的首要理由不是多站，是重建。DD-02 定了 raw 只追加、向上重建；DD-37 说未澄清的映射将来搞清楚了要重算全部历史。也就是说 core 会被重建，而且是设计上鼓励的行为。若代理键是自增序列，每一次重建都会重新分配主键，mart 与 ai 的历史分区、audit 中记录的对象、AI 包回流数据引用的实体键会同时失效。确定性键使重建幂等——同一条源记录无论重建多少次、在哪个环境，得到同一个主键。</w:t>
      </w:r>
    </w:p>
    <w:p>
      <w:pPr/>
      <w:r>
        <w:rPr>
          <w:rFonts w:ascii="微软雅黑" w:hAnsi="微软雅黑" w:eastAsia="微软雅黑"/>
          <w:b w:val="0"/>
          <w:sz w:val="21"/>
        </w:rPr>
        <w:t>自然键取自接入契约的 idempotency_key（HLD 4.2）。契约用它去重，core 用它生成主键，两处口径天然一致；契约中未定义幂等键的源不允许进入 core。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要求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是否满足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全局唯一、跨站合并不冲突（REQ-MOD-05）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满足。命名空间含站点，无须号段协调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不依赖单站自增序列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满足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重建幂等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满足。这是选它的首要理由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排障可复算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满足。拿源自然键即可算出主键并核对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不影响检索速度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满足。记录检索走业务字段索引，主键不参与；见第 12 章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代价是 16 字节而非 8，且哈希型 UUID 没有时间局部性。在本项目不构成问题：峰值 5 万呼叫每日平均不足 1 行每秒，事实表按月分区（DD-77），单分区不过数百万行，索引很小，连接主要发生在夜间模型构建而不在查询路径上（DD-01 已把加工层排除在查询链路之外）。</w:t>
      </w:r>
    </w:p>
    <w:p>
      <w:pPr/>
      <w:r>
        <w:rPr>
          <w:rFonts w:ascii="微软雅黑" w:hAnsi="微软雅黑" w:eastAsia="微软雅黑"/>
          <w:b w:val="0"/>
          <w:sz w:val="21"/>
        </w:rPr>
        <w:t>曾考虑 UUID v7（时间有序、索引友好），但它不是确定性的，会丢掉幂等重建。在两者之间取幂等。</w:t>
      </w:r>
    </w:p>
    <w:p>
      <w:pPr/>
      <w:r>
        <w:rPr>
          <w:rFonts w:ascii="微软雅黑" w:hAnsi="微软雅黑" w:eastAsia="微软雅黑"/>
          <w:b w:val="0"/>
          <w:sz w:val="21"/>
        </w:rPr>
        <w:t>命名空间同时隔离站点与源系统，因此归档库与 DS 展示库中出现同样的单号不会撞键。但这带来两处必须先确认的风险：其一，若割接存在并行期，同一起警情在两个源中各有一份，会得到两个主键并在报表中呈现为两起警情——此时需要一条「归档记录在 DS 中已存在时以 DS 为准」的合并规则，且必须作用在 staging，不能留到 core。其二，若源系统的单号按年重置，同一个源内部就会撞键，跨源命名空间救不了——此时自然键必须把年份或受理日期纳入。两项均已列入第 14 章。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5  分区表主键的一个固有限制</w:t>
      </w:r>
    </w:p>
    <w:p>
      <w:pPr/>
      <w:r>
        <w:rPr>
          <w:rFonts w:ascii="微软雅黑" w:hAnsi="微软雅黑" w:eastAsia="微软雅黑"/>
          <w:b w:val="0"/>
          <w:sz w:val="21"/>
        </w:rPr>
        <w:t>PostgreSQL 要求分区表的唯一约束必须包含分区键，因此全部事实表的主键为 (代理键, date_key) 而非代理键单列。代理键本身在全局唯一，但该唯一性由模型构建阶段的测试保证，数据库层不跨分区强制。这是分区表的固有限制，不是设计取舍，须在测试方案（LD-10）中有对应用例。</w:t>
      </w:r>
    </w:p>
    <w:p>
      <w:pPr/>
      <w:r>
        <w:rPr>
          <w:rFonts w:ascii="微软雅黑" w:hAnsi="微软雅黑" w:eastAsia="微软雅黑"/>
          <w:b w:val="0"/>
          <w:sz w:val="21"/>
        </w:rPr>
        <w:t>同理，事实表之间不建外键约束：跨层复合外键会把子单据的日期强行绑到父单据的日期上，而两者未必相同。参照完整性改由模型构建阶段的测试保证，测试失败即阻断发布。事实表到维度表的外键予以保留——维度小，写入是批量的，约束提供实际保护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6  时间与时区</w:t>
      </w:r>
    </w:p>
    <w:p>
      <w:pPr/>
      <w:r>
        <w:rPr>
          <w:rFonts w:ascii="微软雅黑" w:hAnsi="微软雅黑" w:eastAsia="微软雅黑"/>
          <w:b w:val="0"/>
          <w:sz w:val="21"/>
        </w:rPr>
        <w:t>RFP 2.7.7.5 要求迁移数据保持百分之百保真，明确包括带原始时区的时间戳。但 PostgreSQL 的 timestamptz 只存 UTC 瞬时，输入的偏移量会被丢弃。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层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处理方式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raw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保留源系统送来的原始文本形式（JSONB 载荷中本就完整），保真在此层成立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core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时间列一律 timestamptz；另设 source_tz_offset 列记录原始偏移，备查与举证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报表与接口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统一沙特时间 UTC+3 呈现；日切以 00:00 AST 为界（HLD 6.3）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这样保真在 raw 层成立、可用性在 core 层成立，两边都不牺牲。成本极低，但事后补要改全部事实表。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7  缓变维</w:t>
      </w:r>
    </w:p>
    <w:p>
      <w:pPr/>
      <w:r>
        <w:rPr>
          <w:rFonts w:ascii="微软雅黑" w:hAnsi="微软雅黑" w:eastAsia="微软雅黑"/>
          <w:b w:val="0"/>
          <w:sz w:val="21"/>
        </w:rPr>
        <w:t>维度按"当时"记录，即 Type 2（DD-12）。每张缓变维带 valid_from、valid_to 与生成列 is_current，事实关联当时那一版。目的只有一个：去年打印的报表今年重跑数值不变。</w:t>
      </w:r>
    </w:p>
    <w:p>
      <w:pPr/>
      <w:r>
        <w:rPr>
          <w:rFonts w:ascii="微软雅黑" w:hAnsi="微软雅黑" w:eastAsia="微软雅黑"/>
          <w:b w:val="0"/>
          <w:sz w:val="21"/>
        </w:rPr>
        <w:t>有一处必须分清：dim_agent.agency_type_sk 是统计口径用的派驻警种，按当时记录；而权限判定用的是当前警种，取自身份系统。两者正交，实现时不得混用（DD-41）。</w:t>
      </w:r>
    </w:p>
    <w:p>
      <w:pPr/>
      <w:r>
        <w:rPr>
          <w:rFonts w:ascii="微软雅黑" w:hAnsi="微软雅黑" w:eastAsia="微软雅黑"/>
          <w:b w:val="0"/>
          <w:sz w:val="21"/>
        </w:rPr>
        <w:t>双语名称：源系统仅提供单一语言时，由 M-10 维护双语对照（REQ-RPT-09）。每张维度的 name_ar 与 name_en 均为非空列，强制这件事在数据进入 core 之前完成。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8  空间与坐标系</w:t>
      </w:r>
    </w:p>
    <w:p>
      <w:pPr/>
      <w:r>
        <w:rPr>
          <w:rFonts w:ascii="微软雅黑" w:hAnsi="微软雅黑" w:eastAsia="微软雅黑"/>
          <w:b w:val="0"/>
          <w:sz w:val="21"/>
        </w:rPr>
        <w:t>三项坐标系参数化，存于 meta.srid_config（DD-33）：源坐标系写在接入契约中一源一值；存储坐标系默认 WGS84；分析坐标系默认 UTM 37N。网格聚合、面积与距离计算必须在投影坐标系下进行——在麦加纬度直接用经纬度算会明显失真。</w:t>
      </w:r>
    </w:p>
    <w:p>
      <w:pPr/>
      <w:r>
        <w:rPr>
          <w:rFonts w:ascii="微软雅黑" w:hAnsi="微软雅黑" w:eastAsia="微软雅黑"/>
          <w:b w:val="0"/>
          <w:sz w:val="21"/>
        </w:rPr>
        <w:t>辖区归属以 CAD 的字段为准，不由 dim_sector.boundary 重算（DD-32）。CAD 在受理当时用当时的区划面算出，重算会得到"按现在"的口径，属 DD-12 明确拒绝的做法。boundary 只用于网格聚合与呈现，并作为每日对账项监控两者的一致率。</w:t>
      </w:r>
    </w:p>
    <w:p>
      <w:pPr/>
      <w:r>
        <w:rPr>
          <w:rFonts w:ascii="微软雅黑" w:hAnsi="微软雅黑" w:eastAsia="微软雅黑"/>
          <w:b w:val="0"/>
          <w:sz w:val="21"/>
        </w:rPr>
        <w:t>底图、瓦片与地图应用由 HudHud 本地部署提供，不在本系统内（CN-29）。本方向其提供聚合结果。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9  raw 与 staging 的结构规范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层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规范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raw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与源逐字一致，附完整原始载荷（JSONB）与接入元数据：run_id、contract_version、源水位、原始时区偏移、落地时间。只追加，永不覆盖、永不修正（DD-02）。一源一表，表名 raw.&lt;源标识&gt;__&lt;源表名&gt;。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staging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类型规范、去重、软删除与迟到处理、语义映射。一源一模型，不做跨源关联。全部转换写在 dbt 模型中，不写入契约 YAML（DD-05）。未映射取值落显式的未映射桶，不得归入"其他"（DD-06）。</w:t>
            </w:r>
          </w:p>
        </w:tc>
      </w:tr>
    </w:tbl>
    <w:p/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raw 表只能由结构变更建，接入程序不得在运行时自建。理由在属主：对象的属主天然拥有 DELETE 与 TRUNCATE，接入程序若自建 raw 表即成其属主，「只追加」随之退回靠约定（DD-02）。由结构变更建表、归属主角色，接入角色只被授予 SELECT 与 INSERT，只追加就由数据库授权执行。因此每一份接入契约的 target_raw 都对应一个结构变更（DD-73 · DD-74）。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10  mart 与 ai 的处理方式</w:t>
      </w:r>
    </w:p>
    <w:p>
      <w:pPr/>
      <w:r>
        <w:rPr>
          <w:rFonts w:ascii="微软雅黑" w:hAnsi="微软雅黑" w:eastAsia="微软雅黑"/>
          <w:b w:val="0"/>
          <w:sz w:val="21"/>
        </w:rPr>
        <w:t>本册不穷举 mart 的聚合表。它们由 LD-03 的指标定义与 LD-05A 的报表清单决定，而报表清单尚未经工作坊冻结；现在把四十张报表对应的聚合表逐一写死，是在为一份会变的清单建表。本册只定义模式：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规则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说明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构建来源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mart 与 ai 均自 core 构建，不得直接引用 raw（DD-03）。代码评审规则强制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命名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mart.&lt;主题域&gt;__&lt;粒度&gt;__&lt;聚合内容&gt;，粒度必须出现在表名中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热温分层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近一年的聚合表为热层，承担 95% 亚秒；更早的走历史查询路径（DD-38 · DD-36）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封账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>
              <w:t>日粒度聚合带 close_version，封账为逻辑冻结：以 close_version 与修正行表达，不改旧行，不依赖分区物理只读——按月分区时一个分区内同时有已封账与未封账的日子（DD-77）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重放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复现历史版本的能力来自 raw 与 run_id 水位的重放，不要求 core 双时态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层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实体级宽表、特征表、媒体索引与导出快照。演进节奏与权限等级均不同于 mart，故并列而非合并（HLD 5.6）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0"/>
        </w:rPr>
        <w:t>11  meta 与 audit</w:t>
      </w:r>
    </w:p>
    <w:p>
      <w:pPr/>
      <w:r>
        <w:rPr>
          <w:rFonts w:ascii="微软雅黑" w:hAnsi="微软雅黑" w:eastAsia="微软雅黑"/>
          <w:b w:val="0"/>
          <w:sz w:val="21"/>
        </w:rPr>
        <w:t>meta 与 audit 连同 raw 是仅有的三个不可重建的 schema。meta 中值得单独说明的三张表：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对象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要点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meta.value_profile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记录每个取值的首次与最后出现时点。分布突变点即为归档数据中 schema 版本边界的候选，用于在拿不到 Hexagon 升级记录时反推（DD-37）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meta.search_criteria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记录检索的条件集配置。每条启用的条件必须指向一个实际存在的索引，新增条件须伴随索引评审（DD-34）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meta.field_visibility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字段级可见性矩阵。结构由本方交付，默认取值待 MOI 数据分类政策批准后填入（DD-35 · CN-13）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audit.access_log 的 sensitive_fields 列记录本次返回的敏感字段名清单——记名不记值。审计表本身不得成为系统内最集中的泄露点。audit.delivery_log 保存投递交接点证据：短信与邮件网关由总包商提供、其故障不计入本方服务水平，但本方必须能证明消息确已交给网关（CN-30）。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隔离区（LD-01 7.2）以登记实现，不以搬移实现：未通过校验的批次照常落入 raw——raw 是源端交来什么就记什么的原始记录，「交来过一批坏数据」本身也是要留的事实——同时在 meta.quarantine_batch 登记一行，记批次标识、运行标识、来源、失败原因、状态（待处理 · 已放行 · 已丢弃）以及处理人、处理时间与理由。staging 模型只读取未被隔离或已放行的批次。放行必须填写理由，不允许无理由放行；丢弃只改登记状态，不删 raw 中的数据。这样隔离不需要第二份数据副本，也不破坏 raw 只追加（DD-76）。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运行参数的热调另记于 audit.runtime_param_change_log，与 audit.reference_data_change_log、audit.permission_change_log 并列，只增不改。它不写入 meta.run_log：后者是接入运行的记录，source_id、contract_version 与 outcome 必填且 outcome 只取四个接入结果，热调记录在结构上写不进去；放宽约束则会同时放松对接入记录本身的约束（DD-75）。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12  索引与检索路径</w:t>
      </w:r>
    </w:p>
    <w:p>
      <w:pPr/>
      <w:r>
        <w:rPr>
          <w:rFonts w:ascii="微软雅黑" w:hAnsi="微软雅黑" w:eastAsia="微软雅黑"/>
          <w:b w:val="0"/>
          <w:sz w:val="21"/>
        </w:rPr>
        <w:t>记录检索（DD-34）走业务字段索引，不走主键。meta.search_criteria 中每一条启用的条件都在 ddl/05 中有对应索引。时间范围一律先做分区裁剪，索引只负责分区内的选择性。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场景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走什么索引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UUID 主键是否参与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按警情编号或通话标识调记录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自然键上的 B-tree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按时间范围加条件筛选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分区裁剪加复合索引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从列表点进详情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主键单点查找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是，一次索引探查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夜间模型构建的表连接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主键连接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是，但不在查询路径上</w:t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  <w:t>派警单与出警单上的索引以 agency_type_sk 打头，因为行级过滤的下推条件永远带它（DD-41）。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12.1  时间列索引：按写入模式选 BRIN 或 B-tree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分区按月（DD-77），月内按时间定位靠分区内的索引。选 BRIN 还是 B-tree，只看一个条件：行写进去之后还会不会被改写（DD-78）。BRIN 记的是每一段物理页中时间列的最小值与最大值，前提是物理顺序与时间顺序一致。一行只要被 UPDATE，新版本就落到别处——表尾，或 VACUUM 腾出的旧页空洞——几个落错位置的行就能把一整段的最小到最大值撑宽，此后查询任何一天都要扫它，且这种退化只会随时间累积。因此：只追加、按时间顺序写入的表用 BRIN，一个月的分区只需几十 KB；写入后会被改写的表（状态推进、结案回填、源端原地更新后重取）用 B-tree。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>
              <w:t>表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>
              <w:t>写入模式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>
              <w:t>时间索引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audit.access_log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只插不改，occurred_at 取写入时刻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BRIN (occurred_at)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audit.delivery_log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只插不改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BRIN (handed_over_at)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audit.sla_probe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只插不改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BRIN (probed_at)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core.fact_call_leg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话单结束后不再变化，仅在 15 分钟回看窗口内覆盖写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BRIN (wait_begin)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core.fact_call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由腿级聚合，写入模式同上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BRIN (offered_at)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core.fact_feedback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一条反馈一行，写后不改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BRIN (reported_at)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core.fact_intake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结案前持续更新，结案回填 closed_at；源端原地更新时重取（LD-01 3.4）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B-tree (created_at)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core.fact_dispatch_order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确认、结案、取消时间陆续回填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B-tree (issued_at)；用户查询由以 agency_type_sk 打头的复合索引承担，本索引服务不带行过滤的管理与导出路径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core.fact_turnout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出动、到达、结束时间陆续回填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B-tree (assigned_at)；用户查询由以 agency_type_sk 打头的复合索引承担，本索引服务不带行过滤的管理与导出路径。另有只覆盖未结案单据的部分索引 ix_turnout_open，不能替代本索引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core.fact_agent_session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签出时回填，量很小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不单建时间索引；保留 (agent_sk, signin_at)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core.fact_agent_day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一日一批，量很小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已有唯一索引 ux_agentday (agent_sk, date_key)，不另建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core.fact_ai_inference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一次写入不改，查询按实体或模型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不单建；已有 (model_id, model_version, inferred_at)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core.bridge_call_intake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只经两端的键访问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不需要</w:t>
            </w:r>
          </w:p>
        </w:tc>
      </w:tr>
    </w:tbl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量很小的三张表（坐席会话、坐席日累计、桥表）一个月的分区不过数千到数万行，顺序扫描以毫秒计，再建时间索引只增加写入成本。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12.2  随之而来的三条规则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一、凡按时间范围访问分区表的查询，必须同时带 date_key 条件。分区按 date_key 切分，只按 created_at 一类时间列过滤，规划器裁不掉任何分区，一百余个月分区都要过一遍。服务层与 dbt 须把时间范围同时翻译为 date_key 范围（用于裁剪分区）与时间列范围（用于分区内走索引）；翻译须使用第 6 章的同一套归日时区规则——零点附近两者一旦不一致，结果是静默漏行，不报错（LD-04 3.2）。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二、增量写入不得改写内容未变的行。UPDATE 一行完全相同的数据，照样生成一个新的行版本。话单每日回扫若把整天的行重写一遍，BRIN 被打散、表膨胀、备库复制量翻倍。dbt 增量模型须先比内容哈希，只写真正变化的行。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三、BRIN 索引一律开启 autosummarize = on；归档历史数据按月、按时间列排序灌入。不开 autosummarize，新写的页在下次 VACUUM 之前不在索引摘要中，每次查询都要扫它们；历史数据乱序灌入，BRIN 从一开始就是失效的。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13  对象属主与分层写权限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七层 schema 的边界（第 1 章）若只写在文档里，就只靠约定维持。本章把它落到数据库授权上：谁拥有哪一层、谁能写哪一层，由角色决定，违反时数据库直接拒绝，而不是等到某天有人发现 raw 被改过（DD-74）。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13.1  五个权限角色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五个角色都不能登录。可登录用户按环境由剧本建立并加入相应角色——角色定义随发布制品进入生产，用户名与口令不进制品。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oss911_owner：持有七个 schema，以及 raw、core、meta、audit 中的全部对象。没有任何程序以它的身份运行。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oss911_ingest（接入）：对 raw 只有 SELECT 与 INSERT，没有 UPDATE、DELETE、TRUNCATE；另写 meta 中的水位、运行日志、值剖析与映射登记。raw 只追加由此执行（DD-02）。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oss911_transform（dbt）：对 raw 只读；对 core 可增删改但不能 DROP；staging、mart、ai 由它在运行时建，归它所有。mart 与 ai 只从 core 构建（DD-03）。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oss911_query_svc（服务层查询路径）：读 core、mart、ai 与 meta；对 audit 只有 INSERT，用于每次查询的访问与投递留痕（DD-17）。它不是纯只读角色，这一点容易被误设。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oss911_admin_svc（服务层管理路径）：继承 query_svc，另写权限矩阵与参照配置表及其变更留痕，可查 audit（M-07）。与查询路径分开，是为了让调用量最大、暴露面最大的查询路径即使被打穿，也改不了字段可见性矩阵（LD-06 2.1）。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13.2  按层分属主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raw、core、meta、audit 由结构变更建，归 oss911_owner；staging、mart、ai 由 dbt 运行时建，归 oss911_transform。ALTER DEFAULT PRIVILEGES 只管授权、不管属主——它保证新对象自动授权给其他角色，但属主仍是建表的那个角色。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由此产生三条写代码时必须守的约束：一、dbt 的 profile 必须设 role: oss911_transform，否则新表的属主是 dbt 的登录用户，默认权限不生效，服务层读不到 mart。二、core 模型只能以增量方式写入既有表——core 表由结构变更定义且为分区表，dbt 不是属主，不能 DROP，--full-refresh 会失败，这是期望的行为。三、raw 表必须由结构变更建，接入程序不得自建（第 9 章）。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13.3  分区函数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CREATE TABLE … PARTITION OF 要求调用者是父表的属主，而编排定期调用 meta.ensure_monthly_partitions（按月提前建出未来分区，DD-77）时并不是。该函数因此改为 SECURITY DEFINER，以属主身份执行，search_path 钉死，并收窄到 core 与 audit 的分区表；EXECUTE 只授 oss911_transform，core 与 meta 的函数一律收回 PUBLIC 的 EXECUTE。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13.4  写权限只授有依据的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依据不明的写权限本次一律不授。代码写到时报错，届时以新增结构变更补授，并在提交说明里写明依据——宁可多一次报错，也不预先放出一条没人说得清为什么存在的写权限。当前未授的有：meta.clarification_queue、meta.reference_value 的新码入表、meta.field_availability 与 meta.metric_availability、audit.sla_probe 与 audit.sla_daily（探测执行者待 IR-21）。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14  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交付物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产生方式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数据字典与数据模型（REQ-DB-06 · REQ-MOD-08）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由库结构自动生成、人工补充业务含义，随每次版本发布同步更新，而不是交付前突击编写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A0 幅面概念数据模型图（REQ-DOC-01）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由本册的对象模型生成，要求 A0 幅面下文字清晰可读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非加密完整库副本（RFP 1.6.2.32）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标准 PostgreSQL 环境可导入。本方为开源自研，不存在 OEM 对库结构的限制，属优势项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逻辑与物理模型及查看编辑工具（REQ-DOC-06）</w:t>
            </w:r>
          </w:p>
        </w:tc>
        <w:tc>
          <w:tcPr>
            <w:tcW w:type="dxa" w:w="4989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工具的许可须满足 REQ-LIC-01（永久、非订阅、非按席位）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0"/>
        </w:rPr>
        <w:t>15  待确认项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175"/>
        <w:gridCol w:w="4535"/>
        <w:gridCol w:w="1247"/>
      </w:tblGrid>
      <w:tr>
        <w:trPr>
          <w:tblHeader/>
        </w:trPr>
        <w:tc>
          <w:tcPr>
            <w:tcW w:type="dxa" w:w="317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编号</w:t>
            </w:r>
          </w:p>
        </w:tc>
        <w:tc>
          <w:tcPr>
            <w:tcW w:type="dxa" w:w="4535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事项</w:t>
            </w:r>
          </w:p>
        </w:tc>
        <w:tc>
          <w:tcPr>
            <w:tcW w:type="dxa" w:w="1247"/>
            <w:shd w:val="clear" w:fill="EEF2FD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1E3A8A"/>
                <w:sz w:val="18"/>
              </w:rPr>
              <w:t>影响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IR-01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在范围内的表与列清单、代码值含义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语义映射与维度的 mapping_state 能否由 unknown 转为 verified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IR-41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CAD 对外部信息的落库形态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location 是坐标还是地址文本；若为文本需地理编码，属新增工作量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IR-40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警种编码体系与部门归属名册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dim_agency_type 的自然键，以及行级过滤的初始映射数据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本册 3.2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接警单是否有独立结案字段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决定 is_closed_derived 是否长期为真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本册 3.2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警情级响应时长的业务偏好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是否需要在首个到场之外另定主责警种口径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IR-12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Hexagon 历史升级记录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schema_version_registry 中 evidence 为 upgrade_record 还是 profiled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IR-01（补充）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单号在源系统内是否全局唯一且永不重用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若按年重置，自然键须纳入年份或受理日期，否则同源内部撞键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IR-01（补充）</w:t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旧系统割接是否存在与 DS 并行的时段</w:t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若有并行期，需在 staging 增加以 DS 为准的合并规则，否则同一警情会呈现为两起</w:t>
            </w:r>
          </w:p>
        </w:tc>
      </w:tr>
      <w:tr>
        <w:tc>
          <w:tcPr>
            <w:tcW w:type="dxa" w:w="3175"/>
          </w:tcPr>
          <w:p>
            <w:pPr>
              <w:spacing w:after="40" w:before="40" w:line="283" w:lineRule="auto"/>
            </w:pPr>
            <w:r>
              <w:t>IR-28（T-22）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40" w:before="40" w:line="283" w:lineRule="auto"/>
            </w:pPr>
            <w:r>
              <w:t>客户反馈（满意度回访）的采集方与形态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 w:before="40" w:line="283" w:lineRule="auto"/>
            </w:pPr>
            <w:r>
              <w:t>承载它的事实表尚未设计——形态未知就建表等于猜。M-P03 至 M-P05 的 source_tables 暂为空，D-15 客户反馈看板与 R-31 无数据来源。答复到位后一并补表与指标来源。注意与反馈单（警员处置反馈）不是一回事，见本章命名陷阱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/>
      <w:r>
        <w:rPr>
          <w:rFonts w:ascii="微软雅黑" w:hAnsi="微软雅黑" w:eastAsia="微软雅黑"/>
          <w:b w:val="0"/>
          <w:sz w:val="21"/>
        </w:rPr>
      </w:r>
    </w:p>
    <w:p>
      <w:pPr/>
      <w:r>
        <w:rPr>
          <w:rFonts w:ascii="微软雅黑" w:hAnsi="微软雅黑" w:eastAsia="微软雅黑"/>
          <w:b w:val="0"/>
          <w:sz w:val="21"/>
        </w:rPr>
        <w:t>—  本册结束  —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/>
        <w:b w:val="0"/>
        <w:sz w:val="21"/>
      </w:rPr>
      <w:t xml:space="preserve">  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