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与源逐字一致，附完整原始载荷（JSONB）与接入元数据：run_id、batch_seq、contract_version、源水位、原始时区偏移、落地时间。只追加，永不覆盖、永不修正（DD-02）。一源一表，表名 raw.&lt;源标识&gt;__&lt;源表名&gt;。 run_id 与 batch_seq 合起来标识一个取数批次，是隔离登记（meta.quarantine_batch，DD-76）与 staging 按批次过滤的键，故每张 raw 表都必须带这两列。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数据发布序号（DD-81）登记于 meta.data_publication，一次 mart 发布一行：publication_seq（单调递增，缓存键所用的那个数）、published_at、kind（nightly 夜间构建 · correction 封账后修正）、本次涉及的日期范围、本次产生的 close_version、对应的 run_id。该表随 mart 发布步骤一起建，不提前建——没有写入方的表无从验证。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(assigned_at)；用户查询由以 agency_type_sk 打头的复合索引承担，本索引服务不带行过滤的管理与导出路径。另有只覆盖未结案单据的部分索引 ix_turnout_open，不能替代本索引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已有唯一索引 ux_agentday (agent_sk, date_key)，不另建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一、分区条件按归日依据推导（DD-79）。发生日语义的查询同时带 date_key 范围与时间列范围；只按时间列过滤，规划器裁不掉任何分区，一百余个月分区都要过一遍。关闭日语义的查询（结案类指标、按关闭时间检索）不得加 date_key 下界——单据可以开很久，加了即静默漏掉跨期关闭的单据——只可加安全上界 date_key &lt;= 结束日，由 closed_date_key 索引定位。翻译须使用第 6 章的归日时区规则（LD-04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依据不明的写权限本次一律不授。代码写到时报错，届时以新增结构变更补授，并在提交说明里写明依据——宁可多一次报错，也不预先放出一条没人说得清为什么存在的写权限。当前未授的有：meta.reference_value 的新码入表、meta.field_availability 与 meta.metric_availability、audit.sla_probe 与 audit.sla_daily（探测执行者待 IR-21）。meta.clarification_queue 的写入依据已由 ICP 契约明确（接入的批次校验产生待澄清项），随结构变更 0004 授予 oss911_ingest INSERT。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