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10AEDA" w14:textId="77777777" w:rsidR="00E84691" w:rsidRDefault="00000000">
      <w:pPr>
        <w:spacing w:after="80"/>
      </w:pPr>
      <w:r>
        <w:rPr>
          <w:rFonts w:eastAsia="Arial"/>
          <w:b/>
          <w:bCs/>
          <w:color w:val="1F3864"/>
          <w:sz w:val="32"/>
          <w:szCs w:val="32"/>
        </w:rPr>
        <w:t>Information Request — GIS Integration (</w:t>
      </w:r>
      <w:proofErr w:type="spellStart"/>
      <w:r>
        <w:rPr>
          <w:rFonts w:eastAsia="Arial"/>
          <w:b/>
          <w:bCs/>
          <w:color w:val="1F3864"/>
          <w:sz w:val="32"/>
          <w:szCs w:val="32"/>
        </w:rPr>
        <w:t>HudHud</w:t>
      </w:r>
      <w:proofErr w:type="spellEnd"/>
      <w:r>
        <w:rPr>
          <w:rFonts w:eastAsia="Arial"/>
          <w:b/>
          <w:bCs/>
          <w:color w:val="1F3864"/>
          <w:sz w:val="32"/>
          <w:szCs w:val="32"/>
        </w:rPr>
        <w:t>)</w:t>
      </w:r>
    </w:p>
    <w:p w14:paraId="3310CF91" w14:textId="77777777" w:rsidR="00E84691" w:rsidRDefault="00E84691">
      <w:pPr>
        <w:pBdr>
          <w:bottom w:val="single" w:sz="8" w:space="6" w:color="1F3864"/>
        </w:pBdr>
        <w:spacing w:after="20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84691" w14:paraId="71FF2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bottom w:w="30" w:type="dxa"/>
            </w:tcMar>
          </w:tcPr>
          <w:p w14:paraId="26F7B695" w14:textId="77777777" w:rsidR="00E84691" w:rsidRDefault="00000000">
            <w:r>
              <w:rPr>
                <w:rFonts w:eastAsia="Arial"/>
                <w:b/>
                <w:bCs/>
                <w:color w:val="595959"/>
                <w:sz w:val="19"/>
                <w:szCs w:val="19"/>
              </w:rPr>
              <w:t>Project</w:t>
            </w:r>
          </w:p>
        </w:tc>
        <w:tc>
          <w:tcPr>
            <w:tcW w:w="6760" w:type="dxa"/>
            <w:tcMar>
              <w:top w:w="30" w:type="dxa"/>
              <w:bottom w:w="30" w:type="dxa"/>
            </w:tcMar>
          </w:tcPr>
          <w:p w14:paraId="082441DB" w14:textId="06C0AF1E" w:rsidR="00E84691" w:rsidRDefault="00000000">
            <w:r>
              <w:rPr>
                <w:rFonts w:eastAsia="Arial"/>
                <w:sz w:val="19"/>
                <w:szCs w:val="19"/>
              </w:rPr>
              <w:t xml:space="preserve">OSS911 Makkah 911 Operations Centre </w:t>
            </w:r>
          </w:p>
        </w:tc>
      </w:tr>
      <w:tr w:rsidR="00E84691" w14:paraId="1CB589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bottom w:w="30" w:type="dxa"/>
            </w:tcMar>
          </w:tcPr>
          <w:p w14:paraId="6550735A" w14:textId="77777777" w:rsidR="00E84691" w:rsidRDefault="00000000">
            <w:r>
              <w:rPr>
                <w:rFonts w:eastAsia="Arial"/>
                <w:b/>
                <w:bCs/>
                <w:color w:val="595959"/>
                <w:sz w:val="19"/>
                <w:szCs w:val="19"/>
              </w:rPr>
              <w:t>From</w:t>
            </w:r>
          </w:p>
        </w:tc>
        <w:tc>
          <w:tcPr>
            <w:tcW w:w="6760" w:type="dxa"/>
            <w:tcMar>
              <w:top w:w="30" w:type="dxa"/>
              <w:bottom w:w="30" w:type="dxa"/>
            </w:tcMar>
          </w:tcPr>
          <w:p w14:paraId="5A662C12" w14:textId="361CB7B7" w:rsidR="00E84691" w:rsidRDefault="00927CC5">
            <w:r>
              <w:rPr>
                <w:rFonts w:hint="eastAsia"/>
              </w:rPr>
              <w:t>AIIS</w:t>
            </w:r>
          </w:p>
        </w:tc>
      </w:tr>
      <w:tr w:rsidR="00E84691" w14:paraId="5717C0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bottom w:w="30" w:type="dxa"/>
            </w:tcMar>
          </w:tcPr>
          <w:p w14:paraId="7B63213A" w14:textId="77777777" w:rsidR="00E84691" w:rsidRDefault="00000000">
            <w:r>
              <w:rPr>
                <w:rFonts w:eastAsia="Arial"/>
                <w:b/>
                <w:bCs/>
                <w:color w:val="595959"/>
                <w:sz w:val="19"/>
                <w:szCs w:val="19"/>
              </w:rPr>
              <w:t>Date</w:t>
            </w:r>
          </w:p>
        </w:tc>
        <w:tc>
          <w:tcPr>
            <w:tcW w:w="6760" w:type="dxa"/>
            <w:tcMar>
              <w:top w:w="30" w:type="dxa"/>
              <w:bottom w:w="30" w:type="dxa"/>
            </w:tcMar>
          </w:tcPr>
          <w:p w14:paraId="24FE9E9D" w14:textId="77777777" w:rsidR="00E84691" w:rsidRDefault="00000000">
            <w:r>
              <w:rPr>
                <w:rFonts w:eastAsia="Arial"/>
                <w:sz w:val="19"/>
                <w:szCs w:val="19"/>
              </w:rPr>
              <w:t>7 October 2026</w:t>
            </w:r>
          </w:p>
        </w:tc>
      </w:tr>
    </w:tbl>
    <w:p w14:paraId="4336145D" w14:textId="77777777" w:rsidR="00E84691" w:rsidRDefault="00E84691">
      <w:pPr>
        <w:spacing w:after="120"/>
      </w:pPr>
    </w:p>
    <w:p w14:paraId="0CB80CCE" w14:textId="77777777" w:rsidR="00E84691" w:rsidRDefault="00000000">
      <w:pPr>
        <w:pStyle w:val="1"/>
        <w:spacing w:before="300" w:after="140"/>
      </w:pPr>
      <w:r>
        <w:t>Purpose</w:t>
      </w:r>
    </w:p>
    <w:p w14:paraId="0BCFE639" w14:textId="53B5681F" w:rsidR="00E84691" w:rsidRDefault="00000000">
      <w:pPr>
        <w:spacing w:after="140"/>
        <w:rPr>
          <w:rFonts w:hint="eastAsia"/>
        </w:rPr>
      </w:pPr>
      <w:r>
        <w:rPr>
          <w:rFonts w:eastAsia="Arial"/>
        </w:rPr>
        <w:t xml:space="preserve">We are asking for </w:t>
      </w:r>
      <w:r>
        <w:rPr>
          <w:rFonts w:eastAsia="Arial"/>
          <w:b/>
          <w:bCs/>
        </w:rPr>
        <w:t>two things</w:t>
      </w:r>
      <w:r>
        <w:rPr>
          <w:rFonts w:eastAsia="Arial"/>
        </w:rPr>
        <w:t xml:space="preserve">: the interface documentation for your map component and services, and your confirmation of the </w:t>
      </w:r>
      <w:r>
        <w:rPr>
          <w:rFonts w:eastAsia="Arial"/>
          <w:b/>
          <w:bCs/>
        </w:rPr>
        <w:t>constraints</w:t>
      </w:r>
      <w:r>
        <w:rPr>
          <w:rFonts w:eastAsia="Arial"/>
        </w:rPr>
        <w:t xml:space="preserve"> our side </w:t>
      </w:r>
      <w:proofErr w:type="gramStart"/>
      <w:r>
        <w:rPr>
          <w:rFonts w:eastAsia="Arial"/>
        </w:rPr>
        <w:t>has to</w:t>
      </w:r>
      <w:proofErr w:type="gramEnd"/>
      <w:r>
        <w:rPr>
          <w:rFonts w:eastAsia="Arial"/>
        </w:rPr>
        <w:t xml:space="preserve"> rely on. </w:t>
      </w:r>
    </w:p>
    <w:p w14:paraId="41BFD2B4" w14:textId="77777777" w:rsidR="00E84691" w:rsidRDefault="00000000">
      <w:pPr>
        <w:spacing w:after="140"/>
      </w:pPr>
      <w:r>
        <w:rPr>
          <w:rFonts w:eastAsia="Arial"/>
        </w:rPr>
        <w:t>The boundary we are working to is below. Please correct anything that does not match your understanding, since everything that follows rests on it.</w:t>
      </w:r>
    </w:p>
    <w:p w14:paraId="77030D7E" w14:textId="77777777" w:rsidR="00E84691" w:rsidRDefault="00000000">
      <w:pPr>
        <w:spacing w:after="90"/>
        <w:ind w:left="520" w:hanging="260"/>
      </w:pPr>
      <w:r>
        <w:rPr>
          <w:rFonts w:eastAsia="Arial"/>
        </w:rPr>
        <w:t xml:space="preserve">—  </w:t>
      </w:r>
      <w:proofErr w:type="spellStart"/>
      <w:r>
        <w:rPr>
          <w:rFonts w:eastAsia="Arial"/>
          <w:b/>
          <w:bCs/>
        </w:rPr>
        <w:t>HudHud</w:t>
      </w:r>
      <w:proofErr w:type="spellEnd"/>
      <w:r>
        <w:rPr>
          <w:rFonts w:eastAsia="Arial"/>
          <w:b/>
          <w:bCs/>
        </w:rPr>
        <w:t xml:space="preserve"> provides</w:t>
      </w:r>
      <w:r>
        <w:rPr>
          <w:rFonts w:eastAsia="Arial"/>
        </w:rPr>
        <w:t xml:space="preserve"> the map application, base-map data, map tiles and an embeddable map component, deployed on premises inside the MOI network.</w:t>
      </w:r>
    </w:p>
    <w:p w14:paraId="4B298D43" w14:textId="06D4D4F5" w:rsidR="00E84691" w:rsidRDefault="00000000">
      <w:pPr>
        <w:spacing w:after="90"/>
        <w:ind w:left="520" w:hanging="260"/>
      </w:pPr>
      <w:r>
        <w:rPr>
          <w:rFonts w:eastAsia="Arial"/>
        </w:rPr>
        <w:t xml:space="preserve">—  </w:t>
      </w:r>
      <w:r w:rsidR="00927CC5">
        <w:rPr>
          <w:rFonts w:eastAsia="Arial" w:hint="eastAsia"/>
          <w:b/>
          <w:bCs/>
        </w:rPr>
        <w:t xml:space="preserve">AIIS </w:t>
      </w:r>
      <w:r>
        <w:rPr>
          <w:rFonts w:eastAsia="Arial"/>
          <w:b/>
          <w:bCs/>
        </w:rPr>
        <w:t>provides</w:t>
      </w:r>
      <w:r>
        <w:rPr>
          <w:rFonts w:eastAsia="Arial"/>
        </w:rPr>
        <w:t xml:space="preserve"> the spatial </w:t>
      </w:r>
      <w:r>
        <w:rPr>
          <w:rFonts w:eastAsia="Arial"/>
          <w:b/>
          <w:bCs/>
        </w:rPr>
        <w:t>aggregates</w:t>
      </w:r>
      <w:r>
        <w:rPr>
          <w:rFonts w:eastAsia="Arial"/>
        </w:rPr>
        <w:t xml:space="preserve"> only: grid-based counts, point-in-polygon assignment and hotspot intensity, computed in our data warehouse. </w:t>
      </w:r>
    </w:p>
    <w:p w14:paraId="141D3229" w14:textId="77777777" w:rsidR="00E84691" w:rsidRDefault="00000000">
      <w:pPr>
        <w:spacing w:after="90"/>
        <w:ind w:left="520" w:hanging="260"/>
      </w:pPr>
      <w:r>
        <w:rPr>
          <w:rFonts w:eastAsia="Arial"/>
        </w:rPr>
        <w:t xml:space="preserve">—  Our dashboards </w:t>
      </w:r>
      <w:r>
        <w:rPr>
          <w:rFonts w:eastAsia="Arial"/>
          <w:b/>
          <w:bCs/>
        </w:rPr>
        <w:t>embed</w:t>
      </w:r>
      <w:r>
        <w:rPr>
          <w:rFonts w:eastAsia="Arial"/>
        </w:rPr>
        <w:t xml:space="preserve"> your component and pass those aggregates to it for rendering.</w:t>
      </w:r>
    </w:p>
    <w:p w14:paraId="3F1A1B2C" w14:textId="77777777" w:rsidR="00E84691" w:rsidRDefault="00000000">
      <w:pPr>
        <w:pStyle w:val="1"/>
        <w:spacing w:before="300" w:after="140"/>
      </w:pPr>
      <w:r>
        <w:t>Part A — Documents requested</w:t>
      </w:r>
    </w:p>
    <w:p w14:paraId="67913D60" w14:textId="7DFF78BD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1.</w:t>
      </w:r>
      <w:r>
        <w:rPr>
          <w:rFonts w:eastAsia="Arial"/>
        </w:rPr>
        <w:tab/>
      </w:r>
      <w:r>
        <w:rPr>
          <w:rFonts w:eastAsia="Arial"/>
          <w:b/>
          <w:bCs/>
        </w:rPr>
        <w:t>Component integration guide</w:t>
      </w:r>
      <w:r>
        <w:rPr>
          <w:rFonts w:eastAsia="Arial"/>
        </w:rPr>
        <w:t xml:space="preserve"> — distribution form (JavaScript bundle, CSS, web component or </w:t>
      </w:r>
      <w:proofErr w:type="spellStart"/>
      <w:r>
        <w:rPr>
          <w:rFonts w:eastAsia="Arial"/>
        </w:rPr>
        <w:t>iframe</w:t>
      </w:r>
      <w:proofErr w:type="spellEnd"/>
      <w:r>
        <w:rPr>
          <w:rFonts w:eastAsia="Arial"/>
        </w:rPr>
        <w:t xml:space="preserve">), exact version identifier, </w:t>
      </w:r>
      <w:r w:rsidR="00927CC5">
        <w:rPr>
          <w:rFonts w:eastAsia="Arial"/>
        </w:rPr>
        <w:t>initialization</w:t>
      </w:r>
      <w:r>
        <w:rPr>
          <w:rFonts w:eastAsia="Arial"/>
        </w:rPr>
        <w:t xml:space="preserve"> and configuration options, and the browser support matrix.</w:t>
      </w:r>
    </w:p>
    <w:p w14:paraId="49EC7646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2.</w:t>
      </w:r>
      <w:r>
        <w:rPr>
          <w:rFonts w:eastAsia="Arial"/>
        </w:rPr>
        <w:tab/>
      </w:r>
      <w:r>
        <w:rPr>
          <w:rFonts w:eastAsia="Arial"/>
          <w:b/>
          <w:bCs/>
        </w:rPr>
        <w:t>Data layer input specification</w:t>
      </w:r>
      <w:r>
        <w:rPr>
          <w:rFonts w:eastAsia="Arial"/>
        </w:rPr>
        <w:t xml:space="preserve"> — the accepted formats for a layer we supply (</w:t>
      </w:r>
      <w:proofErr w:type="spellStart"/>
      <w:r>
        <w:rPr>
          <w:rFonts w:eastAsia="Arial"/>
        </w:rPr>
        <w:t>GeoJSON</w:t>
      </w:r>
      <w:proofErr w:type="spellEnd"/>
      <w:r>
        <w:rPr>
          <w:rFonts w:eastAsia="Arial"/>
        </w:rPr>
        <w:t>, vector tiles, WMS/WFS or a proprietary API), the direction of the interface (we push, or your component pulls from an endpoint we expose), and the schema for either case.</w:t>
      </w:r>
    </w:p>
    <w:p w14:paraId="0F823293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3.</w:t>
      </w:r>
      <w:r>
        <w:rPr>
          <w:rFonts w:eastAsia="Arial"/>
        </w:rPr>
        <w:tab/>
      </w:r>
      <w:r>
        <w:rPr>
          <w:rFonts w:eastAsia="Arial"/>
          <w:b/>
          <w:bCs/>
        </w:rPr>
        <w:t>Event and control API reference</w:t>
      </w:r>
      <w:r>
        <w:rPr>
          <w:rFonts w:eastAsia="Arial"/>
        </w:rPr>
        <w:t xml:space="preserve"> — the events raised on user interaction, with their payloads, and the methods by which selection, viewport and layer visibility can be driven programmatically from the hosting page.</w:t>
      </w:r>
    </w:p>
    <w:p w14:paraId="10DAEE66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4.</w:t>
      </w:r>
      <w:r>
        <w:rPr>
          <w:rFonts w:eastAsia="Arial"/>
        </w:rPr>
        <w:tab/>
      </w:r>
      <w:r>
        <w:rPr>
          <w:rFonts w:eastAsia="Arial"/>
          <w:b/>
          <w:bCs/>
        </w:rPr>
        <w:t>Styling API</w:t>
      </w:r>
      <w:r>
        <w:rPr>
          <w:rFonts w:eastAsia="Arial"/>
        </w:rPr>
        <w:t xml:space="preserve"> — how symbology for our own layers is set: </w:t>
      </w:r>
      <w:proofErr w:type="spellStart"/>
      <w:r>
        <w:rPr>
          <w:rFonts w:eastAsia="Arial"/>
        </w:rPr>
        <w:t>colour</w:t>
      </w:r>
      <w:proofErr w:type="spellEnd"/>
      <w:r>
        <w:rPr>
          <w:rFonts w:eastAsia="Arial"/>
        </w:rPr>
        <w:t xml:space="preserve"> ramp, opacity and class breaks.</w:t>
      </w:r>
    </w:p>
    <w:p w14:paraId="39F86CFD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5.</w:t>
      </w:r>
      <w:r>
        <w:rPr>
          <w:rFonts w:eastAsia="Arial"/>
        </w:rPr>
        <w:tab/>
      </w:r>
      <w:r>
        <w:rPr>
          <w:rFonts w:eastAsia="Arial"/>
          <w:b/>
          <w:bCs/>
        </w:rPr>
        <w:t>Coordinate reference statement</w:t>
      </w:r>
      <w:r>
        <w:rPr>
          <w:rFonts w:eastAsia="Arial"/>
        </w:rPr>
        <w:t xml:space="preserve"> — the geodetic datum and EPSG code used by your base map and by the component's input and output, and which other CRS the component will accept.</w:t>
      </w:r>
    </w:p>
    <w:p w14:paraId="0A79E6A7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6.</w:t>
      </w:r>
      <w:r>
        <w:rPr>
          <w:rFonts w:eastAsia="Arial"/>
        </w:rPr>
        <w:tab/>
      </w:r>
      <w:r>
        <w:rPr>
          <w:rFonts w:eastAsia="Arial"/>
          <w:b/>
          <w:bCs/>
        </w:rPr>
        <w:t>Administrative boundary and sector code list</w:t>
      </w:r>
      <w:r>
        <w:rPr>
          <w:rFonts w:eastAsia="Arial"/>
        </w:rPr>
        <w:t xml:space="preserve"> — identifiers, hierarchy levels and the official source they follow, together with an export of the boundary polygons (</w:t>
      </w:r>
      <w:proofErr w:type="spellStart"/>
      <w:r>
        <w:rPr>
          <w:rFonts w:eastAsia="Arial"/>
        </w:rPr>
        <w:t>GeoJSON</w:t>
      </w:r>
      <w:proofErr w:type="spellEnd"/>
      <w:r>
        <w:rPr>
          <w:rFonts w:eastAsia="Arial"/>
        </w:rPr>
        <w:t xml:space="preserve"> or shapefile).</w:t>
      </w:r>
    </w:p>
    <w:p w14:paraId="019245C0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7.</w:t>
      </w:r>
      <w:r>
        <w:rPr>
          <w:rFonts w:eastAsia="Arial"/>
        </w:rPr>
        <w:tab/>
      </w:r>
      <w:r>
        <w:rPr>
          <w:rFonts w:eastAsia="Arial"/>
          <w:b/>
          <w:bCs/>
        </w:rPr>
        <w:t>Service interface specification</w:t>
      </w:r>
      <w:r>
        <w:rPr>
          <w:rFonts w:eastAsia="Arial"/>
        </w:rPr>
        <w:t xml:space="preserve"> — endpoints our application tier will call, the authentication scheme, required ports and directions, and the health-check endpoint.</w:t>
      </w:r>
    </w:p>
    <w:p w14:paraId="638A8940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8.</w:t>
      </w:r>
      <w:r>
        <w:rPr>
          <w:rFonts w:eastAsia="Arial"/>
        </w:rPr>
        <w:tab/>
      </w:r>
      <w:r>
        <w:rPr>
          <w:rFonts w:eastAsia="Arial"/>
          <w:b/>
          <w:bCs/>
        </w:rPr>
        <w:t>Release notes</w:t>
      </w:r>
      <w:r>
        <w:rPr>
          <w:rFonts w:eastAsia="Arial"/>
        </w:rPr>
        <w:t xml:space="preserve"> covering changes to items 2 through 5, for the versions proposed for this project.</w:t>
      </w:r>
    </w:p>
    <w:p w14:paraId="54C0466C" w14:textId="77777777" w:rsidR="00E84691" w:rsidRDefault="00000000">
      <w:pPr>
        <w:pStyle w:val="1"/>
        <w:spacing w:before="300" w:after="140"/>
      </w:pPr>
      <w:r>
        <w:t>Part B — Constraints we need confirmed</w:t>
      </w:r>
    </w:p>
    <w:p w14:paraId="6F5A914C" w14:textId="77777777" w:rsidR="00E84691" w:rsidRDefault="00000000">
      <w:pPr>
        <w:spacing w:after="140"/>
      </w:pPr>
      <w:r>
        <w:rPr>
          <w:rFonts w:eastAsia="Arial"/>
        </w:rPr>
        <w:t>These are the conditions our design depends on. Where one cannot be met, we need to know now rather than during integration — each has a consequence on our side that is cheap to handle today and expensive later.</w:t>
      </w:r>
    </w:p>
    <w:p w14:paraId="0084F850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9.</w:t>
      </w:r>
      <w:r>
        <w:rPr>
          <w:rFonts w:eastAsia="Arial"/>
        </w:rPr>
        <w:tab/>
      </w:r>
      <w:r>
        <w:rPr>
          <w:rFonts w:eastAsia="Arial"/>
          <w:b/>
          <w:bCs/>
        </w:rPr>
        <w:t>No external network access.</w:t>
      </w:r>
      <w:r>
        <w:rPr>
          <w:rFonts w:eastAsia="Arial"/>
        </w:rPr>
        <w:t xml:space="preserve"> The component and everything it </w:t>
      </w:r>
      <w:proofErr w:type="gramStart"/>
      <w:r>
        <w:rPr>
          <w:rFonts w:eastAsia="Arial"/>
        </w:rPr>
        <w:t>pulls</w:t>
      </w:r>
      <w:proofErr w:type="gramEnd"/>
      <w:r>
        <w:rPr>
          <w:rFonts w:eastAsia="Arial"/>
        </w:rPr>
        <w:t xml:space="preserve"> in — styles, fonts, icons, tiles — must load from the internal </w:t>
      </w:r>
      <w:proofErr w:type="spellStart"/>
      <w:r>
        <w:rPr>
          <w:rFonts w:eastAsia="Arial"/>
        </w:rPr>
        <w:t>HudHud</w:t>
      </w:r>
      <w:proofErr w:type="spellEnd"/>
      <w:r>
        <w:rPr>
          <w:rFonts w:eastAsia="Arial"/>
        </w:rPr>
        <w:t xml:space="preserve"> service. Our virtual machines have no outbound internet access. Please </w:t>
      </w:r>
      <w:proofErr w:type="gramStart"/>
      <w:r>
        <w:rPr>
          <w:rFonts w:eastAsia="Arial"/>
        </w:rPr>
        <w:t>confirm, or</w:t>
      </w:r>
      <w:proofErr w:type="gramEnd"/>
      <w:r>
        <w:rPr>
          <w:rFonts w:eastAsia="Arial"/>
        </w:rPr>
        <w:t xml:space="preserve"> list any external hostname that is contacted.</w:t>
      </w:r>
    </w:p>
    <w:p w14:paraId="0836D787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10.</w:t>
      </w:r>
      <w:r>
        <w:rPr>
          <w:rFonts w:eastAsia="Arial"/>
        </w:rPr>
        <w:tab/>
      </w:r>
      <w:r>
        <w:rPr>
          <w:rFonts w:eastAsia="Arial"/>
          <w:b/>
          <w:bCs/>
        </w:rPr>
        <w:t>Version pinning.</w:t>
      </w:r>
      <w:r>
        <w:rPr>
          <w:rFonts w:eastAsia="Arial"/>
        </w:rPr>
        <w:t xml:space="preserve"> We must be able to pin a component version and keep it working after the map service is updated. Please state the compatibility you can commit to for the APIs in Part A items 2–5.</w:t>
      </w:r>
    </w:p>
    <w:p w14:paraId="3AF70DF1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11.</w:t>
      </w:r>
      <w:r>
        <w:rPr>
          <w:rFonts w:eastAsia="Arial"/>
        </w:rPr>
        <w:tab/>
      </w:r>
      <w:r>
        <w:rPr>
          <w:rFonts w:eastAsia="Arial"/>
          <w:b/>
          <w:bCs/>
        </w:rPr>
        <w:t>Declared, stable CRS.</w:t>
      </w:r>
      <w:r>
        <w:rPr>
          <w:rFonts w:eastAsia="Arial"/>
        </w:rPr>
        <w:t xml:space="preserve"> The datum and EPSG code must be stated and must not change silently between versions.</w:t>
      </w:r>
    </w:p>
    <w:p w14:paraId="32DEA8DC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12.</w:t>
      </w:r>
      <w:r>
        <w:rPr>
          <w:rFonts w:eastAsia="Arial"/>
        </w:rPr>
        <w:tab/>
      </w:r>
      <w:r>
        <w:rPr>
          <w:rFonts w:eastAsia="Arial"/>
          <w:b/>
          <w:bCs/>
        </w:rPr>
        <w:t>Right-to-left rendering.</w:t>
      </w:r>
      <w:r>
        <w:rPr>
          <w:rFonts w:eastAsia="Arial"/>
        </w:rPr>
        <w:t xml:space="preserve"> The component must render correctly under an Arabic RTL layout — control placement, labels, legend, scale bar and tooltips. This is a functional requirement on our side, not a </w:t>
      </w:r>
      <w:r>
        <w:rPr>
          <w:rFonts w:eastAsia="Arial"/>
        </w:rPr>
        <w:lastRenderedPageBreak/>
        <w:t>preference.</w:t>
      </w:r>
    </w:p>
    <w:p w14:paraId="2300DB09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13.</w:t>
      </w:r>
      <w:r>
        <w:rPr>
          <w:rFonts w:eastAsia="Arial"/>
        </w:rPr>
        <w:tab/>
      </w:r>
      <w:r>
        <w:rPr>
          <w:rFonts w:eastAsia="Arial"/>
          <w:b/>
          <w:bCs/>
        </w:rPr>
        <w:t>Bilingual labelling.</w:t>
      </w:r>
      <w:r>
        <w:rPr>
          <w:rFonts w:eastAsia="Arial"/>
        </w:rPr>
        <w:t xml:space="preserve"> Base-map features available in Arabic and English, with the display language selectable at run time.</w:t>
      </w:r>
    </w:p>
    <w:p w14:paraId="72DFBD4F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14.</w:t>
      </w:r>
      <w:r>
        <w:rPr>
          <w:rFonts w:eastAsia="Arial"/>
        </w:rPr>
        <w:tab/>
      </w:r>
      <w:r>
        <w:rPr>
          <w:rFonts w:eastAsia="Arial"/>
          <w:b/>
          <w:bCs/>
        </w:rPr>
        <w:t>Historical boundaries.</w:t>
      </w:r>
      <w:r>
        <w:rPr>
          <w:rFonts w:eastAsia="Arial"/>
        </w:rPr>
        <w:t xml:space="preserve"> Boundary changes must be versioned and published, so that a historical period can be reported using the boundaries in force at the time rather than today's.</w:t>
      </w:r>
    </w:p>
    <w:p w14:paraId="0C6E8620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15.</w:t>
      </w:r>
      <w:r>
        <w:rPr>
          <w:rFonts w:eastAsia="Arial"/>
        </w:rPr>
        <w:tab/>
      </w:r>
      <w:r>
        <w:rPr>
          <w:rFonts w:eastAsia="Arial"/>
          <w:b/>
          <w:bCs/>
        </w:rPr>
        <w:t>Unambiguous selection payload.</w:t>
      </w:r>
      <w:r>
        <w:rPr>
          <w:rFonts w:eastAsia="Arial"/>
        </w:rPr>
        <w:t xml:space="preserve"> The event raised when a user selects a grid cell or feature must identify it unambiguously, so our dashboards can drill down to the underlying incident list.</w:t>
      </w:r>
    </w:p>
    <w:p w14:paraId="071C27DC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16.</w:t>
      </w:r>
      <w:r>
        <w:rPr>
          <w:rFonts w:eastAsia="Arial"/>
        </w:rPr>
        <w:tab/>
      </w:r>
      <w:r>
        <w:rPr>
          <w:rFonts w:eastAsia="Arial"/>
          <w:b/>
          <w:bCs/>
        </w:rPr>
        <w:t>Detectable failure.</w:t>
      </w:r>
      <w:r>
        <w:rPr>
          <w:rFonts w:eastAsia="Arial"/>
        </w:rPr>
        <w:t xml:space="preserve"> When the map service is unreachable, the component must raise a signal the hosting page can detect — not fail silently.</w:t>
      </w:r>
    </w:p>
    <w:p w14:paraId="5E31D92B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17.</w:t>
      </w:r>
      <w:r>
        <w:rPr>
          <w:rFonts w:eastAsia="Arial"/>
        </w:rPr>
        <w:tab/>
      </w:r>
      <w:r>
        <w:rPr>
          <w:rFonts w:eastAsia="Arial"/>
          <w:b/>
          <w:bCs/>
        </w:rPr>
        <w:t>Layer scale.</w:t>
      </w:r>
      <w:r>
        <w:rPr>
          <w:rFonts w:eastAsia="Arial"/>
        </w:rPr>
        <w:t xml:space="preserve"> A layer of several thousand features per time window must be supported; please state the limits on feature count and request size, and the refresh cadence available without a page reload.</w:t>
      </w:r>
    </w:p>
    <w:p w14:paraId="396533F1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18.</w:t>
      </w:r>
      <w:r>
        <w:rPr>
          <w:rFonts w:eastAsia="Arial"/>
        </w:rPr>
        <w:tab/>
      </w:r>
      <w:r>
        <w:rPr>
          <w:rFonts w:eastAsia="Arial"/>
          <w:b/>
          <w:bCs/>
        </w:rPr>
        <w:t>Content Security Policy.</w:t>
      </w:r>
      <w:r>
        <w:rPr>
          <w:rFonts w:eastAsia="Arial"/>
        </w:rPr>
        <w:t xml:space="preserve"> Please state the directives the component requires, so we can admit it without widening our policy further than necessary.</w:t>
      </w:r>
    </w:p>
    <w:p w14:paraId="7A867EE9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19.</w:t>
      </w:r>
      <w:r>
        <w:rPr>
          <w:rFonts w:eastAsia="Arial"/>
        </w:rPr>
        <w:tab/>
      </w:r>
      <w:r>
        <w:rPr>
          <w:rFonts w:eastAsia="Arial"/>
          <w:b/>
          <w:bCs/>
        </w:rPr>
        <w:t>Correlation identifier.</w:t>
      </w:r>
      <w:r>
        <w:rPr>
          <w:rFonts w:eastAsia="Arial"/>
        </w:rPr>
        <w:t xml:space="preserve"> A request or correlation identifier carried through your service and recorded in its logs, so an incident can be traced across both systems.</w:t>
      </w:r>
    </w:p>
    <w:p w14:paraId="14BFB319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20.</w:t>
      </w:r>
      <w:r>
        <w:rPr>
          <w:rFonts w:eastAsia="Arial"/>
        </w:rPr>
        <w:tab/>
      </w:r>
      <w:r>
        <w:rPr>
          <w:rFonts w:eastAsia="Arial"/>
          <w:b/>
          <w:bCs/>
        </w:rPr>
        <w:t>No undeclared telemetry.</w:t>
      </w:r>
      <w:r>
        <w:rPr>
          <w:rFonts w:eastAsia="Arial"/>
        </w:rPr>
        <w:t xml:space="preserve"> Please confirm whether the component collects usage telemetry, and if so where it is sent.</w:t>
      </w:r>
    </w:p>
    <w:p w14:paraId="194682B4" w14:textId="77777777" w:rsidR="00E84691" w:rsidRDefault="00000000">
      <w:pPr>
        <w:pBdr>
          <w:left w:val="single" w:sz="12" w:space="12" w:color="BFBFBF"/>
        </w:pBdr>
        <w:spacing w:before="120" w:after="200"/>
        <w:ind w:left="360"/>
      </w:pPr>
      <w:r>
        <w:rPr>
          <w:rFonts w:eastAsia="Arial"/>
          <w:i/>
          <w:iCs/>
          <w:color w:val="595959"/>
          <w:sz w:val="19"/>
          <w:szCs w:val="19"/>
        </w:rPr>
        <w:t xml:space="preserve">Two of these carry more weight than the rest. On item 11: Saudi Arabia has several datums in active use, and if the CAD system and the map use different datums without transformation the positional error can reach tens of </w:t>
      </w:r>
      <w:proofErr w:type="spellStart"/>
      <w:r>
        <w:rPr>
          <w:rFonts w:eastAsia="Arial"/>
          <w:i/>
          <w:iCs/>
          <w:color w:val="595959"/>
          <w:sz w:val="19"/>
          <w:szCs w:val="19"/>
        </w:rPr>
        <w:t>metres</w:t>
      </w:r>
      <w:proofErr w:type="spellEnd"/>
      <w:r>
        <w:rPr>
          <w:rFonts w:eastAsia="Arial"/>
          <w:i/>
          <w:iCs/>
          <w:color w:val="595959"/>
          <w:sz w:val="19"/>
          <w:szCs w:val="19"/>
        </w:rPr>
        <w:t xml:space="preserve"> — enough to place an incident in the wrong sector while every component involved reports success. On item 16: our dashboards must degrade rather than fail, replacing the map panel with a table and a clear notice while the rest of the dashboard keeps working; without a detectable signal a map outage is shown to the user as a failure of the BI system.</w:t>
      </w:r>
    </w:p>
    <w:p w14:paraId="4110E4D8" w14:textId="77777777" w:rsidR="00E84691" w:rsidRDefault="00000000">
      <w:pPr>
        <w:pStyle w:val="1"/>
        <w:spacing w:before="300" w:after="140"/>
      </w:pPr>
      <w:r>
        <w:t>Part C — Points the documents may not answer</w:t>
      </w:r>
    </w:p>
    <w:p w14:paraId="402807D0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21.</w:t>
      </w:r>
      <w:r>
        <w:rPr>
          <w:rFonts w:eastAsia="Arial"/>
        </w:rPr>
        <w:tab/>
        <w:t>Whether your administrative and sector identifiers match those used by the CAD system, and if not, whether a mapping table exists.</w:t>
      </w:r>
    </w:p>
    <w:p w14:paraId="5AC08C21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22.</w:t>
      </w:r>
      <w:r>
        <w:rPr>
          <w:rFonts w:eastAsia="Arial"/>
        </w:rPr>
        <w:tab/>
        <w:t xml:space="preserve">If your CRS differs from the CAD </w:t>
      </w:r>
      <w:proofErr w:type="spellStart"/>
      <w:r>
        <w:rPr>
          <w:rFonts w:eastAsia="Arial"/>
        </w:rPr>
        <w:t>system's</w:t>
      </w:r>
      <w:proofErr w:type="spellEnd"/>
      <w:r>
        <w:rPr>
          <w:rFonts w:eastAsia="Arial"/>
        </w:rPr>
        <w:t>, your recommended transformation path and its expected accuracy.</w:t>
      </w:r>
    </w:p>
    <w:p w14:paraId="27CCB877" w14:textId="77777777" w:rsidR="00E84691" w:rsidRDefault="00000000">
      <w:pPr>
        <w:spacing w:after="110"/>
        <w:ind w:left="520" w:hanging="520"/>
      </w:pPr>
      <w:r>
        <w:rPr>
          <w:rFonts w:eastAsia="Arial"/>
          <w:b/>
          <w:bCs/>
          <w:color w:val="1F3864"/>
        </w:rPr>
        <w:t>23.</w:t>
      </w:r>
      <w:r>
        <w:rPr>
          <w:rFonts w:eastAsia="Arial"/>
        </w:rPr>
        <w:tab/>
        <w:t>Anything you need from us that is not stated in the boundary above — formats, endpoints, identifiers or test data.</w:t>
      </w:r>
    </w:p>
    <w:p w14:paraId="73CD64F9" w14:textId="77777777" w:rsidR="00E84691" w:rsidRDefault="00E84691">
      <w:pPr>
        <w:pBdr>
          <w:top w:val="single" w:sz="6" w:space="8" w:color="BFBFBF"/>
        </w:pBdr>
        <w:spacing w:before="300"/>
      </w:pPr>
    </w:p>
    <w:p w14:paraId="29A7AA0E" w14:textId="77777777" w:rsidR="00E84691" w:rsidRDefault="00000000">
      <w:pPr>
        <w:spacing w:after="120"/>
      </w:pPr>
      <w:r>
        <w:rPr>
          <w:rFonts w:eastAsia="Arial"/>
          <w:sz w:val="19"/>
          <w:szCs w:val="19"/>
        </w:rPr>
        <w:t>Documents may be attached against the Part A numbering; short written answers are sufficient for Parts B and C. Where a value is not yet fixed, please say so explicitly rather than omitting the item — an open point we know about is manageable, one discovered during integration is not.</w:t>
      </w:r>
    </w:p>
    <w:sectPr w:rsidR="00E84691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DB3434"/>
    <w:multiLevelType w:val="hybridMultilevel"/>
    <w:tmpl w:val="FD8EF3A6"/>
    <w:lvl w:ilvl="0" w:tplc="BD9EDE38">
      <w:start w:val="1"/>
      <w:numFmt w:val="bullet"/>
      <w:lvlText w:val="●"/>
      <w:lvlJc w:val="left"/>
      <w:pPr>
        <w:ind w:left="720" w:hanging="360"/>
      </w:pPr>
    </w:lvl>
    <w:lvl w:ilvl="1" w:tplc="AB44D642">
      <w:start w:val="1"/>
      <w:numFmt w:val="bullet"/>
      <w:lvlText w:val="○"/>
      <w:lvlJc w:val="left"/>
      <w:pPr>
        <w:ind w:left="1440" w:hanging="360"/>
      </w:pPr>
    </w:lvl>
    <w:lvl w:ilvl="2" w:tplc="56323D24">
      <w:start w:val="1"/>
      <w:numFmt w:val="bullet"/>
      <w:lvlText w:val="■"/>
      <w:lvlJc w:val="left"/>
      <w:pPr>
        <w:ind w:left="2160" w:hanging="360"/>
      </w:pPr>
    </w:lvl>
    <w:lvl w:ilvl="3" w:tplc="DC0A0C22">
      <w:start w:val="1"/>
      <w:numFmt w:val="bullet"/>
      <w:lvlText w:val="●"/>
      <w:lvlJc w:val="left"/>
      <w:pPr>
        <w:ind w:left="2880" w:hanging="360"/>
      </w:pPr>
    </w:lvl>
    <w:lvl w:ilvl="4" w:tplc="EFD8EBA8">
      <w:start w:val="1"/>
      <w:numFmt w:val="bullet"/>
      <w:lvlText w:val="○"/>
      <w:lvlJc w:val="left"/>
      <w:pPr>
        <w:ind w:left="3600" w:hanging="360"/>
      </w:pPr>
    </w:lvl>
    <w:lvl w:ilvl="5" w:tplc="5022B5F4">
      <w:start w:val="1"/>
      <w:numFmt w:val="bullet"/>
      <w:lvlText w:val="■"/>
      <w:lvlJc w:val="left"/>
      <w:pPr>
        <w:ind w:left="4320" w:hanging="360"/>
      </w:pPr>
    </w:lvl>
    <w:lvl w:ilvl="6" w:tplc="E418FA1A">
      <w:start w:val="1"/>
      <w:numFmt w:val="bullet"/>
      <w:lvlText w:val="●"/>
      <w:lvlJc w:val="left"/>
      <w:pPr>
        <w:ind w:left="5040" w:hanging="360"/>
      </w:pPr>
    </w:lvl>
    <w:lvl w:ilvl="7" w:tplc="3CDAD460">
      <w:start w:val="1"/>
      <w:numFmt w:val="bullet"/>
      <w:lvlText w:val="●"/>
      <w:lvlJc w:val="left"/>
      <w:pPr>
        <w:ind w:left="5760" w:hanging="360"/>
      </w:pPr>
    </w:lvl>
    <w:lvl w:ilvl="8" w:tplc="F59E662A">
      <w:start w:val="1"/>
      <w:numFmt w:val="bullet"/>
      <w:lvlText w:val="●"/>
      <w:lvlJc w:val="left"/>
      <w:pPr>
        <w:ind w:left="6480" w:hanging="360"/>
      </w:pPr>
    </w:lvl>
  </w:abstractNum>
  <w:num w:numId="1" w16cid:durableId="1090588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691"/>
    <w:rsid w:val="001208C6"/>
    <w:rsid w:val="00612600"/>
    <w:rsid w:val="00927CC5"/>
    <w:rsid w:val="00E8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B24AA"/>
  <w15:docId w15:val="{1826D036-4A25-8349-A791-08474A98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Arial"/>
      <w:b/>
      <w:bCs/>
      <w:color w:val="1F3864"/>
      <w:sz w:val="24"/>
      <w:szCs w:val="2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941</Words>
  <Characters>4944</Characters>
  <Application>Microsoft Office Word</Application>
  <DocSecurity>0</DocSecurity>
  <Lines>85</Lines>
  <Paragraphs>49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</cp:lastModifiedBy>
  <cp:revision>2</cp:revision>
  <dcterms:created xsi:type="dcterms:W3CDTF">2026-10-07T13:56:00Z</dcterms:created>
  <dcterms:modified xsi:type="dcterms:W3CDTF">2026-10-07T14:11:00Z</dcterms:modified>
</cp:coreProperties>
</file>