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1"/>
      </w:pPr>
      <w:r>
        <w:t>8  资源需求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变更随制品发布，且必须可前滚可回退。破坏性变更（删列、改类型）单独评审并安排在维护窗口。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