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0"/>
      </w:pP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color w:val="1D4ED8"/>
          <w:sz w:val="36"/>
        </w:rPr>
        <w:t>OSS911 麦加 911 运营中心</w:t>
      </w:r>
    </w:p>
    <w:p>
      <w:pPr>
        <w:spacing w:before="0" w:after="360"/>
        <w:jc w:val="center"/>
      </w:pPr>
      <w:r>
        <w:rPr>
          <w:rFonts w:ascii="微软雅黑" w:hAnsi="微软雅黑" w:eastAsia="微软雅黑"/>
          <w:b/>
          <w:color w:val="1D4ED8"/>
          <w:sz w:val="36"/>
        </w:rPr>
        <w:t>商业智能与数据仓库子系统</w:t>
      </w:r>
    </w:p>
    <w:p>
      <w:pPr>
        <w:spacing w:before="0" w:after="160"/>
        <w:jc w:val="center"/>
      </w:pPr>
      <w:r>
        <w:rPr>
          <w:rFonts w:ascii="微软雅黑" w:hAnsi="微软雅黑" w:eastAsia="微软雅黑"/>
          <w:b/>
          <w:color w:val="111827"/>
          <w:sz w:val="48"/>
        </w:rPr>
        <w:t>展现层详细设计</w:t>
      </w:r>
    </w:p>
    <w:p>
      <w:pPr>
        <w:spacing w:before="0" w:after="1000"/>
        <w:jc w:val="center"/>
      </w:pPr>
      <w:r>
        <w:rPr>
          <w:rFonts w:ascii="微软雅黑" w:hAnsi="微软雅黑" w:eastAsia="微软雅黑"/>
          <w:b w:val="0"/>
          <w:color w:val="4B5563"/>
          <w:sz w:val="23"/>
        </w:rPr>
        <w:t>Detailed Design — Presentation Layer   ( LD-05 )</w:t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color w:val="111827"/>
          <w:sz w:val="24"/>
        </w:rPr>
        <w:t>版本  v0.1</w:t>
      </w:r>
    </w:p>
    <w:p>
      <w:pPr>
        <w:spacing w:before="0" w:after="2200"/>
        <w:jc w:val="center"/>
      </w:pPr>
      <w:r>
        <w:rPr>
          <w:rFonts w:ascii="微软雅黑" w:hAnsi="微软雅黑" w:eastAsia="微软雅黑"/>
          <w:b w:val="0"/>
          <w:color w:val="4B5563"/>
          <w:sz w:val="22"/>
        </w:rPr>
        <w:t>2026 年 9 月</w:t>
      </w:r>
    </w:p>
    <w:p>
      <w:pPr>
        <w:spacing w:before="0" w:after="60"/>
        <w:jc w:val="center"/>
      </w:pPr>
      <w:r>
        <w:rPr>
          <w:rFonts w:ascii="微软雅黑" w:hAnsi="微软雅黑" w:eastAsia="微软雅黑"/>
          <w:b w:val="0"/>
          <w:color w:val="4B5563"/>
          <w:sz w:val="20"/>
        </w:rPr>
        <w:t>本册定义门户信息架构、双语与从右至左布局、报表与仪表板的机制、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color w:val="4B5563"/>
          <w:sz w:val="20"/>
        </w:rPr>
        <w:t>地图嵌入、指挥大屏、移动端布局，以及渲染预算与组件库。</w:t>
      </w:r>
    </w:p>
    <w:p>
      <w:r>
        <w:br w:type="page"/>
      </w:r>
    </w:p>
    <w:p>
      <w:pPr>
        <w:pStyle w:val="Heading1"/>
      </w:pPr>
      <w:r>
        <w:t>1  本册的范围与读法</w:t>
      </w:r>
    </w:p>
    <w:p>
      <w:pPr/>
      <w:r>
        <w:t>本册细化 HLD v0.3 第 8 章，回答的是「数字以什么面貌出现在人眼前」。逐张报表与仪表板的规格在 LD-05A，管理界面在 LD-06，本册只写机制与规范。</w:t>
      </w:r>
    </w:p>
    <w:p>
      <w:pPr/>
      <w:r>
        <w:t>展现层没有自己的数据。它拿到的每一个数都来自 LD-04 的查询 API，包括那四个响应元字段。因此本册反复出现的一条原则是：展现层不做任何会改变数值含义的加工——不在浏览器里做二次聚合、不做单位换算、不自行补零。理由与 LD-04 第 3 章的口径唯一性相同：一旦前端算了一遍，同一个指标就有了第二个实现，而两个实现迟早会不一致。</w:t>
      </w:r>
    </w:p>
    <w:p/>
    <w:p>
      <w:pPr>
        <w:pStyle w:val="Heading1"/>
      </w:pPr>
      <w:r>
        <w:t>2  门户与信息架构</w:t>
      </w:r>
    </w:p>
    <w:p>
      <w:pPr>
        <w:pStyle w:val="Heading2"/>
      </w:pPr>
      <w:r>
        <w:t>2.1  自建外壳，Superset 只做查询引擎</w:t>
      </w:r>
    </w:p>
    <w:p>
      <w:pPr>
        <w:pStyle w:val="Heading2"/>
      </w:pPr>
      <w:r>
        <w:t>【2026-10-27 补充，DD-93】Superset 连接仓库经 pgBouncer 事务池 oss911_txn（别名，真实库为 oss911）。Superset 自 4.1 起把 PostgreSQL 的库当作 catalog：默认 catalog 取连接串库名，catalog 列表查 pg_database，切换 catalog 时改写连接串库名重连——与别名不一致。数据库连接 extra 的 allow_multi_catalog 必须保持 false（默认值），不开放多 catalog；安装后按实际版本经 pgBouncer 实测 SQL Lab 与数据集预览。</w:t>
      </w:r>
    </w:p>
    <w:p>
      <w:pPr/>
      <w:r>
        <w:t>门户采用自建外壳，Superset 作为后端查询引擎，不直接暴露给用户。这比直接交付 Superset 多出两到三周工作量，换来三件事：界面风格与阿语本地化不必迁就第三方产品的约定；权限模型不必在两套体系之间做映射；门户、仪表板、大屏与移动端共用同一套视觉与交互体系。</w:t>
      </w:r>
    </w:p>
    <w:p>
      <w:pPr/>
      <w:r>
        <w:t>第二条是决定性的。本系统的权限是三层的——角色、字段级可见性矩阵、部门行过滤（LD-07）——而把这三层映射到另一个产品自带的权限模型上，映射本身就会成为一个持续的缺陷来源，且任何一次产品升级都可能改变映射的行为。让 Superset 只负责执行查询，权限判定完全留在本方服务层，这个问题就不存在。</w:t>
      </w:r>
    </w:p>
    <w:p>
      <w:pPr>
        <w:pStyle w:val="Heading2"/>
      </w:pPr>
      <w:r>
        <w:t>2.2  角色决定入口，而不是决定菜单项的灰显</w:t>
      </w:r>
    </w:p>
    <w:p>
      <w:pPr/>
      <w:r>
        <w:t>四个角色看到的是不同的门户首页，而不是同一个首页上灰掉一部分。没有权限的功能不出现在导航里，请求对应路径时由服务层拒绝。</w:t>
      </w:r>
    </w:p>
    <w:p>
      <w:pPr/>
      <w:r>
        <w:t>灰显的做法会把系统的能力边界暴露给没有权限的人——一个接警员不需要知道存在「全局绩效」这个页面。更要紧的是，灰显容易演变成「前端隐藏、后端不拦」，那就不是界面问题而是越权漏洞了（LD-10 的越权测试专门覆盖这一项）。</w:t>
      </w:r>
    </w:p>
    <w:p/>
    <w:p>
      <w:pPr>
        <w:pStyle w:val="Heading2"/>
      </w:pPr>
      <w:r>
        <w:t>2.3  信息架构</w:t>
      </w:r>
    </w:p>
    <w:p/>
    <w:p>
      <w:pPr>
        <w:pStyle w:val="Heading1"/>
      </w:pPr>
      <w:r>
        <w:t>3  双语与从右至左</w:t>
      </w:r>
    </w:p>
    <w:p>
      <w:pPr/>
      <w:r>
        <w:t>界面为阿语与英语双语，用户可切换，阿语界面为从右至左布局。这一章比它看起来要重要：双语与 RTL 的缺陷极少是致命的，但数量多、分散、且往往在交付演示时才被阿语母语者一眼看出。</w:t>
      </w:r>
    </w:p>
    <w:p>
      <w:pPr>
        <w:pStyle w:val="Heading2"/>
      </w:pPr>
      <w:r>
        <w:t>3.1  从右至左不只是翻转方向</w:t>
      </w:r>
    </w:p>
    <w:p>
      <w:pPr/>
      <w:r>
        <w:t>把根元素设成 dir="rtl" 只解决了文字流向。以下几项需要逐项处理，它们是 RTL 项目最常见的返工来源：</w:t>
      </w:r>
    </w:p>
    <w:p/>
    <w:p>
      <w:pPr>
        <w:pStyle w:val="Heading2"/>
      </w:pPr>
      <w:r>
        <w:t>3.2  混排必须做双向隔离</w:t>
      </w:r>
    </w:p>
    <w:p>
      <w:pPr/>
      <w:r>
        <w:t>阿语标签里嵌一个拉丁编码——例如「محطة U-1007」——是本系统的常态：维度名称是阿语，编码是拉丁字母加数字。若不做双向隔离，Unicode 的双向算法会把编码放到句子的另一端，看起来像是数据错了，实际是渲染问题。</w:t>
      </w:r>
    </w:p>
    <w:p>
      <w:pPr/>
      <w:r>
        <w:t>处理方式是对每一段嵌入的拉丁文本加隔离标记（HTML 的 bdi 元素或等效的隔离字符），不依赖浏览器猜测。这一条写进组件库的基础文本组件，而不是留给每个页面各自处理——留给各自处理的结果一定是有的页面对、有的不对。</w:t>
      </w:r>
    </w:p>
    <w:p>
      <w:pPr>
        <w:pStyle w:val="Heading2"/>
      </w:pPr>
      <w:r>
        <w:t>3.3  数字采用西阿拉伯数字</w:t>
      </w:r>
    </w:p>
    <w:p>
      <w:pPr/>
      <w:r>
        <w:t>阿拉伯语区存在两套数字符号：西阿拉伯数字（0123456789）与东阿拉伯数字（٠١٢٣٤٥٦٧٨٩）。本设计在两种语言界面下一律采用西阿拉伯数字。</w:t>
      </w:r>
    </w:p>
    <w:p>
      <w:pPr/>
      <w:r>
        <w:t>理由有三：沙特官方文书与统计出版物普遍使用西阿拉伯数字；导出的 Excel 与 CSV 若含东阿拉伯数字，在下游工具中会被当作文本而非数值；以及同一个数在两种语言界面下呈现为不同符号，会让阿英对照核对变得困难。此项列入待确认，因为它是一个观感偏好而非技术判断，应由 MOI 业务方拍板（见第 11 章）。</w:t>
      </w:r>
    </w:p>
    <w:p>
      <w:pPr>
        <w:pStyle w:val="Heading2"/>
      </w:pPr>
      <w:r>
        <w:t>3.4  日期、时区与回历</w:t>
      </w:r>
    </w:p>
    <w:p/>
    <w:p>
      <w:pPr>
        <w:pStyle w:val="Heading2"/>
      </w:pPr>
      <w:r>
        <w:t>3.5  报表按语言各出一份</w:t>
      </w:r>
    </w:p>
    <w:p>
      <w:pPr/>
      <w:r>
        <w:t>报表不做阿英混排，每张报表有阿语版与英语版两套模板，各自单向排版（与 MOI 商定）。这一决定显著降低了排版复杂度与缺陷风险：混排报表中的表格、页眉页脚、页码与图表标题各自需要独立的方向处理，而其中任何一处出错都会在打印件上暴露。</w:t>
      </w:r>
    </w:p>
    <w:p>
      <w:pPr/>
      <w:r>
        <w:t>随之而来的数据问题在 LD-01 9.2 已经处理：维度取值来自 CAD，若源端只有一种语言，另一种由 M-10 维护的双语覆盖提供；覆盖处于待重新确认状态时回落显示源端原文。因此阿语报表中可能出现少量非阿语的维度名称——这是诚实的回落，好过显示一个可能已经失效的旧译名。</w:t>
      </w:r>
    </w:p>
    <w:p>
      <w:pPr>
        <w:pStyle w:val="Heading1"/>
      </w:pPr>
      <w:r>
        <w:t>4  元字段怎么呈现</w:t>
      </w:r>
    </w:p>
    <w:p>
      <w:pPr/>
      <w:r>
        <w:t>LD-04 规定每个响应携带四个元字段：口径版本、数据时点、封账状态、是否依赖未验证映射。它们是数据的一部分，不是调试信息。但四个字段全部显示在每一个数字旁边，界面会变成一片说明文字，人反而不看了。</w:t>
      </w:r>
    </w:p>
    <w:p>
      <w:pPr/>
      <w:r>
        <w:t>因此按「这个字段是否改变使用者此刻的行为」分级呈现：</w:t>
      </w:r>
    </w:p>
    <w:p/>
    <w:p>
      <w:pPr>
        <w:pStyle w:val="Heading2"/>
      </w:pPr>
      <w:r>
        <w:t>4.1  导出时四个字段全部写入</w:t>
      </w:r>
    </w:p>
    <w:p>
      <w:pPr/>
      <w:r>
        <w:t>导出的文件会离开系统：它被下载、转发、打印、贴进另一份报告。界面上的提示、悬停与颜色全部随之丢失，只剩下数字。</w:t>
      </w:r>
    </w:p>
    <w:p>
      <w:pPr/>
      <w:r>
        <w:t>因此凡导出——PDF、Word、Excel、CSV——四个元字段一律完整写入页脚或首个工作表的说明区，不做分级。这一条不允许由用户关闭。一份没有口径声明的导出件，在三个月后的会议上就是一个来历不明的数字。</w:t>
      </w:r>
    </w:p>
    <w:p>
      <w:pPr>
        <w:pStyle w:val="Heading2"/>
      </w:pPr>
      <w:r>
        <w:t>4.2  超出可用年份的时段</w:t>
      </w:r>
    </w:p>
    <w:p>
      <w:pPr/>
      <w:r>
        <w:t>查询范围超出 meta.metric_availability 的可用年份时，服务层返回的是明示信息而非空结果（LD-04 3.4）。展现层原样呈现「该时段源端无此数据」并指出限制字段，不显示为零，也不显示为空白图表。</w:t>
      </w:r>
    </w:p>
    <w:p>
      <w:pPr/>
      <w:r>
        <w:t>图表上的处理是：该时段在坐标轴上保留位置但不绘制数据点，并以浅色底纹与文字标注覆盖。断线的折线图会被读成「下降到零」，而留白加标注不会。</w:t>
      </w:r>
    </w:p>
    <w:p>
      <w:pPr>
        <w:pStyle w:val="Heading1"/>
      </w:pPr>
      <w:r>
        <w:t>5  报表与仪表板的机制</w:t>
      </w:r>
    </w:p>
    <w:p>
      <w:pPr/>
      <w:r>
        <w:t>逐张规格在 LD-05A。本章定义所有报表与仪表板共同遵循的机制。</w:t>
      </w:r>
    </w:p>
    <w:p>
      <w:pPr>
        <w:pStyle w:val="Heading2"/>
      </w:pPr>
      <w:r>
        <w:t>5.1  模板与参数</w:t>
      </w:r>
    </w:p>
    <w:p/>
    <w:p>
      <w:pPr>
        <w:pStyle w:val="Heading2"/>
      </w:pPr>
      <w:r>
        <w:t>5.2  不在浏览器里做聚合</w:t>
      </w:r>
    </w:p>
    <w:p>
      <w:pPr/>
      <w:r>
        <w:t>展现层不做任何二次聚合。图表要什么粒度就向服务层请求什么粒度，不允许取回明细后在前端求和、求平均或计算占比。</w:t>
      </w:r>
    </w:p>
    <w:p>
      <w:pPr/>
      <w:r>
        <w:t>这条限制看起来保守，理由却很实在。前端一旦算了一遍，同一指标就有了第二个实现——而它不受指标注册表管辖、不带口径版本、不进对账。日后两个数字对不上时，没有任何机制能指出是哪一边错了。第二个理由是权限：前端聚合意味着明细数据必须先传到浏览器，而字段裁剪与行过滤本来就该在服务端完成，明细一旦下发，裁剪就失去意义了。</w:t>
      </w:r>
    </w:p>
    <w:p>
      <w:pPr>
        <w:pStyle w:val="Heading2"/>
      </w:pPr>
      <w:r>
        <w:t>5.3  导出与订阅</w:t>
      </w:r>
    </w:p>
    <w:p/>
    <w:p>
      <w:pPr>
        <w:pStyle w:val="Heading1"/>
      </w:pPr>
      <w:r>
        <w:t>6  地图嵌入（IF-41）</w:t>
      </w:r>
    </w:p>
    <w:p>
      <w:pPr>
        <w:pStyle w:val="Heading2"/>
      </w:pPr>
      <w:r>
        <w:t>6.1  分工边界</w:t>
      </w:r>
    </w:p>
    <w:p>
      <w:pPr/>
      <w:r>
        <w:t>地图由沙特本地厂商 HudHud 提供，本地部署。本方不建底图、不做瓦片服务、不做地图应用。本方提供的是空间聚合结果——网格化计数、点在面内判定、热点强度——由 mart 层用 PostGIS 算出，交给 HudHud 组件渲染。</w:t>
      </w:r>
    </w:p>
    <w:p>
      <w:pPr/>
      <w:r>
        <w:t>这条边界要在实施期反复确认，因为它容易被侵蚀：一旦开始在本方界面里画多边形、做图层管理、处理底图缩放，实际上就是在重建一个地图应用。判断标准很简单——凡是与「数据聚合」无关的地图能力，都属于 HudHud 一侧。</w:t>
      </w:r>
    </w:p>
    <w:p>
      <w:pPr>
        <w:pStyle w:val="Heading2"/>
      </w:pPr>
      <w:r>
        <w:t>6.2  离线部署</w:t>
      </w:r>
    </w:p>
    <w:p>
      <w:pPr/>
      <w:r>
        <w:t>组件与瓦片必须可离线部署，以满足无外网要求（REQ-SEC-06）。任何需要联网获取字体、图标或样式的地图组件都不可用，即便它在开发环境里工作正常——开发环境有网。</w:t>
      </w:r>
    </w:p>
    <w:p>
      <w:pPr/>
      <w:r>
        <w:t>这一项在联调期须专门验证：断网环境下地图完整加载。列入 LD-10 的测试用例。</w:t>
      </w:r>
    </w:p>
    <w:p>
      <w:pPr>
        <w:pStyle w:val="Heading2"/>
      </w:pPr>
      <w:r>
        <w:t>6.3  地图故障时的降级</w:t>
      </w:r>
    </w:p>
    <w:p>
      <w:pPr/>
      <w:r>
        <w:t>HudHud 的故障不计入本方服务水平，但界面不能整页失败。地图不可用时，含地图的仪表板降级为表格与统计呈现，并明确提示「地图服务不可用」。</w:t>
      </w:r>
    </w:p>
    <w:p>
      <w:pPr/>
      <w:r>
        <w:t>降级而非失败的理由是：地图往往只是仪表板的一个面板，其余面板的数据完全正常。整页失败会把一个外部组件的故障放大成本系统的故障，而这在服务水平的判定上对本方不利——尽管责任不在本方，使用者看到的是本方的页面打不开。</w:t>
      </w:r>
    </w:p>
    <w:p>
      <w:pPr>
        <w:pStyle w:val="Heading2"/>
      </w:pPr>
      <w:r>
        <w:t>6.4  热点与聚集区</w:t>
      </w:r>
    </w:p>
    <w:p>
      <w:pPr/>
      <w:r>
        <w:t>热点与聚集区的算法与阈值在 LD-03 定义，本册只管呈现。呈现上须注意两点：热力图的色阶必须给出图例与数值区间，否则「红色」代表多少无从判断；以及网格粒度须随缩放级别切换并显示当前粒度，否则同一片区域在不同缩放下呈现不同的密度，会被误读为数据变化。</w:t>
      </w:r>
    </w:p>
    <w:p>
      <w:pPr>
        <w:pStyle w:val="Heading1"/>
      </w:pPr>
      <w:r>
        <w:t>7  指挥大屏</w:t>
      </w:r>
    </w:p>
    <w:p>
      <w:pPr>
        <w:pStyle w:val="Heading2"/>
      </w:pPr>
      <w:r>
        <w:t>7.1  无人值守自恢复</w:t>
      </w:r>
    </w:p>
    <w:p>
      <w:pPr/>
      <w:r>
        <w:t>大屏是独立 Web 应用，长连接，装在墙上，没有人守着键盘。因此它的设计目标不是功能丰富，而是「出了任何问题都能自己回到正确状态」。</w:t>
      </w:r>
    </w:p>
    <w:p/>
    <w:p>
      <w:pPr/>
      <w:r>
        <w:t>第三条是这一节里最要紧的。一块显示着两小时前数据的大屏，比一块黑屏危险得多：黑屏所有人都知道它坏了，而陈旧数据看起来一切正常。</w:t>
      </w:r>
    </w:p>
    <w:p>
      <w:pPr>
        <w:pStyle w:val="Heading2"/>
      </w:pPr>
      <w:r>
        <w:t>7.2  指示性数据的标注</w:t>
      </w:r>
    </w:p>
    <w:p>
      <w:pPr/>
      <w:r>
        <w:t>大屏主视图为实时共同作战图，2 至 10 秒刷新，数据来自实时状态服务——它是对源系统的观测，不落库、不参与统计（LD-04 5.1）。因此大屏上的数字须常驻标注为指示性，不作为考核依据。</w:t>
      </w:r>
    </w:p>
    <w:p>
      <w:pPr/>
      <w:r>
        <w:t>标注要写在画面上，不能只写在文档里。大屏是被截图、被拍照、被引用到汇报里的，而截图不会带上文档。</w:t>
      </w:r>
    </w:p>
    <w:p>
      <w:pPr>
        <w:pStyle w:val="Heading2"/>
      </w:pPr>
      <w:r>
        <w:t>7.3  POC 已经锚定了预期</w:t>
      </w:r>
    </w:p>
    <w:p>
      <w:pPr/>
      <w:r>
        <w:t>DS 曾提供一块 POC 大屏并已由 MOI 相关人员看过，其数据为写死的样例。该大屏不在交付范围内，本系统交付的大屏取代它，但相关人员的预期已被那个界面锚定，功能覆盖低于它会被视为倒退。</w:t>
      </w:r>
    </w:p>
    <w:p>
      <w:pPr/>
      <w:r>
        <w:t>因此实施期须逐项核对 POC 界面上的每一个元素是否有真实数据源支撑——写死的数字不需要数据源，真实实现需要。这份核对清单是 LD-05A 的输入之一，也是 T-16 的内容。凡核对下来没有数据源的元素，须在设计评审时明确处置：要么找到数据源，要么与 MOI 说明为何不做，不能留到验收现场。</w:t>
      </w:r>
    </w:p>
    <w:p>
      <w:pPr>
        <w:pStyle w:val="Heading1"/>
      </w:pPr>
      <w:r>
        <w:t>8  移动端</w:t>
      </w:r>
    </w:p>
    <w:p>
      <w:pPr/>
      <w:r>
        <w:t>移动端本期交付，形态为原生薄壳内嵌移动专用布局。定位是面向主管与管理员的管理看板，不是接警员与调度员的作业工具（DD-30）。</w:t>
      </w:r>
    </w:p>
    <w:p/>
    <w:p>
      <w:pPr/>
      <w:r>
        <w:t>最后一条须在 T-08 的服务水平判定口径中写明。移动端链路上有一段本方完全不控制的公网，把它计入亚秒承诺等于为运营商的网络质量背书。</w:t>
      </w:r>
    </w:p>
    <w:p>
      <w:pPr>
        <w:pStyle w:val="Heading1"/>
      </w:pPr>
      <w:r>
        <w:t>9  渲染预算</w:t>
      </w:r>
    </w:p>
    <w:p>
      <w:pPr>
        <w:pStyle w:val="Heading2"/>
      </w:pPr>
      <w:r>
        <w:t>9.1  前端在承诺之内，不在承诺之外</w:t>
      </w:r>
    </w:p>
    <w:p>
      <w:pPr/>
      <w:r>
        <w:t>RFP 1.6.7.2 规定响应时间的测量含前端渲染。这一句把展现层拉进了性能承诺：95% 亚秒、峰值 99% 低于 2 秒，测的是用户看到结果的时刻，不是服务端返回的时刻。</w:t>
      </w:r>
    </w:p>
    <w:p>
      <w:pPr/>
      <w:r>
        <w:t>因此前端有明确预算，而不是「尽量快」。以快速查询路径为例分解：</w:t>
      </w:r>
    </w:p>
    <w:p/>
    <w:p>
      <w:pPr/>
      <w:r>
        <w:t>预算一旦分解，界面设计上的取舍就有了依据：单屏图表数量、是否首屏即渲染全部面板、图表库的选择，都要用这个预算来判断，而不是等测出来慢了再优化。</w:t>
      </w:r>
    </w:p>
    <w:p>
      <w:pPr>
        <w:pStyle w:val="Heading2"/>
      </w:pPr>
      <w:r>
        <w:t>9.2  由预算推出的三条界面规则</w:t>
      </w:r>
    </w:p>
    <w:p/>
    <w:p>
      <w:pPr/>
      <w:r>
        <w:t>第三条与 LD-04 的三档路径对应：实时推送路径 2 至 10 秒刷新且标注指示性，快速查询路径承担亚秒承诺，历史查询路径走独立低优先级配额、不得拖慢快速路径。这三档在界面上必须让使用者能分辨——同样是一张图，一个是实时指示值，一个是封账权威值，看起来一样就会被同等对待。</w:t>
      </w:r>
    </w:p>
    <w:p>
      <w:pPr>
        <w:pStyle w:val="Heading1"/>
      </w:pPr>
      <w:r>
        <w:t>10  组件库与设计系统</w:t>
      </w:r>
    </w:p>
    <w:p>
      <w:pPr/>
      <w:r>
        <w:t>门户、仪表板、大屏、移动端、管理界面共用同一套设计系统与组件库。这是 2.1 选择自建外壳换来的收益，不能在实施中被稀释成五套各自演化的界面。</w:t>
      </w:r>
    </w:p>
    <w:p/>
    <w:p>
      <w:pPr/>
      <w:r>
        <w:t>图表封装是这一章的重点。RTL 镜像、超出可用年份的留白标注、未封账标记这三件事如果留给每个页面自己做，四十张报表加二十个仪表板意味着六十次实现机会，其中必然有做错的。集中在封装层则只需做对一次。</w:t>
      </w:r>
    </w:p>
    <w:p>
      <w:pPr/>
      <w:r>
        <w:t>色彩另有一条硬约束：不得以颜色作为唯一的信息载体。未封账、依赖未验证映射、超出可用范围三种状态都必须同时有文字或图形标记——色觉障碍之外，大屏的拍照与打印件的黑白复印也会让颜色失效。</w:t>
      </w:r>
    </w:p>
    <w:p>
      <w:pPr>
        <w:pStyle w:val="Heading1"/>
      </w:pPr>
      <w:r>
        <w:t>11  交付物与待确认项</w:t>
      </w:r>
    </w:p>
    <w:p/>
    <w:p/>
    <w:p>
      <w:pPr/>
      <w:r>
        <w:t>这五项里只有数字符号一项会引起返工，且返工面很宽——它出现在每一张报表、每一个图表、每一份导出件上。因此建议在设计评审时单独提出，取得书面答复。</w:t>
      </w:r>
    </w:p>
    <w:sectPr w:rsidR="00FC693F" w:rsidRPr="0006063C" w:rsidSect="00034616">
      <w:footerReference w:type="default" r:id="rId9"/>
      <w:pgSz w:w="11906" w:h="16838"/>
      <w:pgMar w:top="1247" w:right="1304" w:bottom="1247" w:left="130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文件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与本册的关系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LD-04 服务层与接口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全部数据来源。四个元字段的取值规则在 LD-04 3.4，本册只写怎么呈现它们。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LD-05A 报表与仪表板规格册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逐张规格。本册定义模板与版式规范，LD-05A 按此填充 40 张报表与 20 个仪表板。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LD-06 管理界面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M-01 至 M-11。管理界面共用本册的组件库与双语规范，但信息架构独立。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LD-07 安全与权限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角色决定入口与可见字段。展现层不做权限判定，只按服务端返回的内容渲染。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HD-05 报表仪表板与指标清单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LD-05A 的编制基线。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角色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门户入口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接警员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本人话务与警情视图、个人绩效。无部门过滤（接所有来电），无全局绩效，无管理界面。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调度员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警情处置视图与资源状态，按派驻部门过滤。无管理界面。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主管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业务报表与仪表板、大屏、班组与人员绩效，按派驻部门过滤。无系统管理界面。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管理员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全部业务视图与管理界面 M-01 至 M-11。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区域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内容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报表目录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按主题域分类，支持检索。每张报表附口径说明的入口，指向 M-04 指标字典。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仪表板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20 个预置加自定义。当日数据显示未封账标注。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参数化查询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按指标、维度、时间范围查询；参数集可导出导入（REQ-QRY-04）。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记录检索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独立入口，条件集受配置约束。仅对有权限的角色出现。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我的订阅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订阅管理与历史投递记录。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导出任务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异步导出的任务列表与产物下载，凭证短时效。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元素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RTL 下的处理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表格列序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整体镜像：第一列出现在最右。但序号列仍居于阅读起点一侧。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时间轴方向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时间轴由右向左推进。这一条最容易漏——图表库默认左起，阿语用户会把趋势读反。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图表坐标轴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Y 轴移至右侧，X 轴刻度反序。堆叠顺序与图例顺序同步镜像。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方向性图标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前进、后退、展开、缩进等图标需镜像。非方向性图标（放大镜、打印机、警示）不得镜像。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数字与拉丁文本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仍为从左至右。阿语句子中嵌入的单位编码、指标编码、时间戳必须加双向隔离，否则渲染位置会错乱，见 3.2。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进度与滑块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起点在右。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项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规则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日历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公历为主。dim_date 携带回历字段，朝觐期相关分析可切换显示回历日期（LD-02）。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时区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统一沙特时间 UTC+3。界面不提供时区切换——多时区显示会让跨系统对时的争论无从收敛。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日期格式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两种语言均用 ISO 风格的年-月-日，避免日月顺序歧义。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回历标注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仅在启用回历显示时并列呈现，不默认双历并排——并排会占用大量横向空间而多数场景用不到。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元字段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呈现方式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封账状态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始终可见。未封账时数字旁带明确标记与文字说明「当日临时值」。它直接改变这个数能不能用来汇报。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是否依赖未验证映射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为真时始终可见，标记形态与未封账区分。含义是「这个数还没有人对着源端确认过」，不是「这个数错了」——文案必须写清这个区别，否则会引发不必要的怀疑。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数据时点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常驻于页面或图表的角落，字号小但不隐藏。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口径版本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默认收在信息提示中，点击或悬停展开，并链接到 M-04 指标字典的对应版本。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机制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规则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模板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每张报表两套模板（阿语、英语），共用同一份数据定义与参数定义，只是版式与文字不同。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参数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时间范围、辖区、单位、班次等。参数集可导出为 CSV 并在另一环境导入复现同一查询（REQ-QRY-04）。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参数默认值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按角色给出合理默认，使报表打开即有数据。默认值不得跨越权限边界——调度员的默认辖区是其本部门。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版式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屏幕版式与打印版式分别定义。打印版式固定纸张与页边距，表格跨页时重复表头。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发布与下架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在 M-05 管理，含按角色的可见性配置。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能力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规则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导出格式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PDF、Word、Excel。异步任务，产物入对象存储，经媒体服务以短时效凭证下载。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大结果集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超过界面阈值时不在页面渲染，直接转为导出任务并提示。静默截断一律禁止。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订阅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按计划生成并投递。渲染时使用订阅者本人的权限上下文，不是配置者的（LD-04 5.3）。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投递记录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用户可在「我的订阅」中看到自己的历史投递与失败原因。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故障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自恢复行为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连接中断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自动重连，重连后提交最后序号，网关回送完整快照（LD-04 5.2）。中断两小时的大屏在一次往返后恢复正确。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渲染异常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前端异常边界捕获后自动重载页面，不停留在错误界面。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数据长时间未更新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界面显式显示「数据已停止更新 N 分钟」，而不是继续展示一个看起来正常但已经陈旧的画面。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浏览器或机器重启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开机自启并自动进入全屏，不需要登录操作——大屏使用专用的设备身份，不绑定自然人账号。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方面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规则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布局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与桌面门户分为两套布局，共用服务层 API、设计系统与组件库。手机屏与电脑屏的信息密度差异太大，同一套响应式布局两头都不好用。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内容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只呈现封账后的聚合指标。无记录级下钻、无媒体访问、无导出——这同时把数据分类政策的审批范围控制在统计数据一级。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拒绝方式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记录级接口在移动端令牌受众下由服务层拒绝，不是界面上不放入口（LD-04 第 9 章）。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推送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不使用 APNs 与 FCM。打开应用后主动拉取；告警经短信与邮件网关送达。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薄壳职责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证书固定、设备注册、令牌吊销。业务界面全部在内嵌页面中。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网络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经 internet 与 DMZ 反向代理，含公网段，不适用 RFP 1.6.7.5 的亚秒承诺，须在服务水平判定口径中单列或排除。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环节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预算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服务端查询与序列化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目标 400 至 500 毫秒（LD-04 3.2）。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网络往返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内网，按实测取值；移动端链路单列，不适用亚秒承诺。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前端解析与渲染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剩余额度。首屏可交互须在总预算内完成。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规则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理由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单屏面板数量设上限，超出部分延迟加载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首屏渲染十二个图表必然超预算。视口外的面板在滚动到时才请求与渲染。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大表格虚拟滚动，且结果集有硬上限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一次渲染上万行会让浏览器卡住，而这既超预算又无实际用途——没有人会滚动一万行。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历史查询路径转异步并明确提示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一年以上的查询允许秒级，超阈值转为异步任务，界面显示进度而不是转圈等待。转圈等待会让人反复点击刷新，把一次慢查询变成五次。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层次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内容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设计令牌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颜色、字号、间距、圆角、阴影。双语与明暗（大屏用深色底）通过令牌切换，不改组件。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基础组件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文本（含双向隔离，见 3.2）、按钮、输入、表格、分页、提示、空状态、错误状态。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数据组件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指标卡、图表容器（含元字段呈现，见第 4 章）、筛选器、时间范围选择器、导出按钮。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布局组件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桌面栅格、大屏栅格、移动栅格。三套栅格，一套组件。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图表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统一封装，RTL 镜像、色阶、图例、空数据与超范围状态的处理集中在封装层，不由各页面各自实现。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交付物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形态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前端组件库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设计令牌、基础组件、数据组件、布局组件、图表封装。含双语与 RTL 的实现。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版式规范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屏幕版式与打印版式的栅格、字号、页边距、表格跨页规则。阿语与英语各一套。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渲染预算说明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预算分解与三条界面规则，作为设计评审与性能测试的依据。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大屏 POC 元素核对清单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逐元素核对是否有真实数据源支撑，含处置结论（T-16）。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待确认项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影响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数字符号（3.3）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西阿拉伯数字与东阿拉伯数字之选。本设计按西阿拉伯数字编制，属观感偏好而非技术判断，须由 MOI 业务方拍板。改动影响所有界面与导出模板，宜早不宜迟。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T-16 大屏 POC 元素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预期已被 POC 锚定，功能覆盖低于它会被视为倒退。核对须在设计评审前完成。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T-18 报表数量的解读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复刻现有报表是否包含在四十张之内。直接决定 LD-05A 的编制工作量，不影响本册的机制。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T-22 客户反馈数据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采集方与形态待确认。客户反馈看板（RFP 1.6.2.17）的数据源随之待定。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T-24 MDM 分发与 DMZ 接入规范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移动端无法进入联调与上线。本册的移动端布局设计不受影响，交付时点受影响。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rPr>
        <w:rFonts w:ascii="微软雅黑" w:hAnsi="微软雅黑" w:eastAsia="微软雅黑"/>
        <w:b w:val="0"/>
        <w:sz w:val="21"/>
      </w:rPr>
      <w:t xml:space="preserve">  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80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118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