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31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r>
              <w:rPr>
                <w:rFonts w:ascii="微软雅黑" w:hAnsi="微软雅黑" w:eastAsia="微软雅黑"/>
                <w:b w:val="0"/>
                <w:sz w:val="18"/>
              </w:rPr>
              <w:t>11</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7</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  【依据】客户口头答复与现场沟通。  【2026-09 补注】RFP 1.6.3.1 的资源数据（经 ESB 自国家数据中心取得的人员与车辆信息、经 Aliali 接口取得的报警人位置等）同样由 CAD 获取并落库，本方从展示库一并取得，不构成第四类数据源。见 DD-42 与 IR-41。</w:t>
              <w:br/>
              <w:br/>
              <w:t>【2026-09 更正】归档库为 SQL Server 而非 PostgreSQL，且读取 archive 副本库。持续数据源的结论不变，但接入方式新增第五类连接器 mssql_read，并引入开源 TDS 驱动链。见 CN-36 与 DD-52</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r>
        <w:tc>
          <w:tcPr>
            <w:tcW w:type="dxa" w:w="1134"/>
          </w:tcPr>
          <w:p>
            <w:pPr>
              <w:spacing w:after="40" w:before="40" w:line="283" w:lineRule="auto"/>
            </w:pPr>
            <w:r/>
            <w:r>
              <w:rPr>
                <w:rFonts w:ascii="微软雅黑" w:hAnsi="微软雅黑" w:eastAsia="微软雅黑"/>
                <w:b w:val="0"/>
                <w:sz w:val="16"/>
              </w:rPr>
              <w:t>AS-29</w:t>
              <w:br/>
              <w:br/>
              <w:t>未确认（需商务处置）</w:t>
            </w:r>
          </w:p>
        </w:tc>
        <w:tc>
          <w:tcPr>
            <w:tcW w:type="dxa" w:w="3515"/>
          </w:tcPr>
          <w:p>
            <w:pPr>
              <w:spacing w:after="40" w:before="40" w:line="283" w:lineRule="auto"/>
            </w:pPr>
            <w:r/>
            <w:r>
              <w:rPr>
                <w:rFonts w:ascii="微软雅黑" w:hAnsi="微软雅黑" w:eastAsia="微软雅黑"/>
                <w:b w:val="0"/>
                <w:sz w:val="16"/>
              </w:rPr>
              <w:t>交付范围中源码的边界：交付接入契约、dbt 模型、指标定义、DDL、部署脚本与组件清单，不交付服务层与前端的应用源码。</w:t>
              <w:br/>
              <w:br/>
              <w:t>【依据】前一组本身即 RFP 1.6.2.32 所要求的「字段、表、视图、过滤器与报表的定义与说明」，交付它们既满足该条，也支撑 2.7.3.1 的 MOI 可自行扩展；应用源码不在任何条款的明文要求内。</w:t>
            </w:r>
          </w:p>
        </w:tc>
        <w:tc>
          <w:tcPr>
            <w:tcW w:type="dxa" w:w="2494"/>
          </w:tcPr>
          <w:p>
            <w:pPr>
              <w:spacing w:after="40" w:before="40" w:line="283" w:lineRule="auto"/>
            </w:pPr>
            <w:r/>
            <w:r>
              <w:rPr>
                <w:rFonts w:ascii="微软雅黑" w:hAnsi="微软雅黑" w:eastAsia="微软雅黑"/>
                <w:b w:val="0"/>
                <w:sz w:val="16"/>
              </w:rPr>
              <w:t>两个方向都有风险。若 MOI 认为须交付全部源码，商务须重新评估交付范围与报价。反之若我方主张源码一概不交付，则与 AS-01「本项目为定制开发、基于开源组件、不以闭源产品形态交付」的立场自相矛盾——评标时可被反问：交付的究竟是开源方案还是闭源产品。这两句话不能同时说。且只交付制品而不交付模型与指标定义，很可能被判未满足 1.6.2.32。</w:t>
            </w:r>
          </w:p>
        </w:tc>
        <w:tc>
          <w:tcPr>
            <w:tcW w:type="dxa" w:w="1701"/>
          </w:tcPr>
          <w:p>
            <w:pPr>
              <w:spacing w:after="40" w:before="40" w:line="283" w:lineRule="auto"/>
            </w:pPr>
            <w:r/>
            <w:r>
              <w:rPr>
                <w:rFonts w:ascii="微软雅黑" w:hAnsi="微软雅黑" w:eastAsia="微软雅黑"/>
                <w:b w:val="0"/>
                <w:sz w:val="16"/>
              </w:rPr>
              <w:t>商务 / MOI</w:t>
              <w:br/>
              <w:br/>
              <w:t>REQ-DB-06 · REQ-LIC-03 · AS-01 · DD-49</w:t>
            </w:r>
          </w:p>
        </w:tc>
      </w:tr>
      <w:tr>
        <w:tc>
          <w:tcPr>
            <w:tcW w:type="dxa" w:w="1134"/>
          </w:tcPr>
          <w:p>
            <w:pPr>
              <w:spacing w:after="40" w:before="40" w:line="283" w:lineRule="auto"/>
            </w:pPr>
            <w:r>
              <w:t>AS-30</w:t>
            </w:r>
            <w:r>
              <w:rPr>
                <w:rFonts w:ascii="微软雅黑" w:hAnsi="微软雅黑" w:eastAsia="微软雅黑"/>
                <w:b w:val="0"/>
                <w:sz w:val="16"/>
              </w:rPr>
            </w:r>
          </w:p>
          <w:p/>
          <w:p>
            <w:r>
              <w:t>已确认</w:t>
            </w:r>
          </w:p>
        </w:tc>
        <w:tc>
          <w:tcPr>
            <w:tcW w:type="dxa" w:w="3515"/>
          </w:tcPr>
          <w:p>
            <w:pPr>
              <w:spacing w:after="40" w:before="40" w:line="283" w:lineRule="auto"/>
            </w:pPr>
            <w:r>
              <w:t>麦加 911 在 ICP 上为单一 VDN，不按号码、语种或部门切分为多个虚拟呼叫中心。</w:t>
            </w:r>
            <w:r>
              <w:rPr>
                <w:rFonts w:ascii="微软雅黑" w:hAnsi="微软雅黑" w:eastAsia="微软雅黑"/>
                <w:b w:val="0"/>
                <w:sz w:val="16"/>
              </w:rPr>
            </w:r>
          </w:p>
          <w:p>
            <w:r>
              <w:t>【依据】现场沟通答复（2026-10）。</w:t>
            </w:r>
          </w:p>
        </w:tc>
        <w:tc>
          <w:tcPr>
            <w:tcW w:type="dxa" w:w="2494"/>
          </w:tcPr>
          <w:p>
            <w:pPr>
              <w:spacing w:after="40" w:before="40" w:line="283" w:lineRule="auto"/>
            </w:pPr>
            <w:r>
              <w:t>若实际为多 VDN，全部话务事实表须增加 VDN 维，报表与权限须按 VDN 切分，且 CMS 各接口需按 vdnId 逐个轮询，接入作业的并发与配额估算随之改变。</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CN-21</w:t>
            </w:r>
          </w:p>
        </w:tc>
      </w:tr>
      <w:tr>
        <w:tc>
          <w:tcPr>
            <w:tcW w:type="dxa" w:w="1134"/>
          </w:tcPr>
          <w:p>
            <w:pPr>
              <w:spacing w:after="40" w:before="40" w:line="283" w:lineRule="auto"/>
            </w:pPr>
            <w:r>
              <w:t>AS-31</w:t>
            </w:r>
            <w:r>
              <w:rPr>
                <w:rFonts w:ascii="微软雅黑" w:hAnsi="微软雅黑" w:eastAsia="微软雅黑"/>
                <w:b w:val="0"/>
                <w:sz w:val="16"/>
              </w:rPr>
            </w:r>
          </w:p>
          <w:p/>
          <w:p>
            <w:r>
              <w:t>已确认</w:t>
            </w:r>
          </w:p>
        </w:tc>
        <w:tc>
          <w:tcPr>
            <w:tcW w:type="dxa" w:w="3515"/>
          </w:tcPr>
          <w:p>
            <w:pPr>
              <w:spacing w:after="40" w:before="40" w:line="283" w:lineRule="auto"/>
            </w:pPr>
            <w:r>
              <w:t>话务平台的坐席工号与自然人一一对应，不在班次之间复用；换班由接班人以本人工号重新登录。</w:t>
            </w:r>
            <w:r>
              <w:rPr>
                <w:rFonts w:ascii="微软雅黑" w:hAnsi="微软雅黑" w:eastAsia="微软雅黑"/>
                <w:b w:val="0"/>
                <w:sz w:val="16"/>
              </w:rPr>
            </w:r>
          </w:p>
          <w:p>
            <w:r>
              <w:t>【依据】现场沟通答复（2026-10）。</w:t>
            </w:r>
          </w:p>
        </w:tc>
        <w:tc>
          <w:tcPr>
            <w:tcW w:type="dxa" w:w="2494"/>
          </w:tcPr>
          <w:p>
            <w:pPr>
              <w:spacing w:after="40" w:before="40" w:line="283" w:lineRule="auto"/>
            </w:pPr>
            <w:r>
              <w:t>若工号可在班次间复用，话单中的 DEVICENO 便不足以归属到人，接警员维度须改为「工号 + 时间段」经排班表反查，绩效与质检的归属链路随之加长，且排班数据成为话务指标的必需输入——而排班已按 DD-53 确定为派生而非接入。</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REQ-GOV-02</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43 项（其中 IR-32 已关闭）。紧急度为“高”的项目，其答复会改变设计选择、交付范围或承诺内容，应在设计冻结前取得。</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t>28</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r>
              <w:rPr>
                <w:rFonts w:ascii="微软雅黑" w:hAnsi="微软雅黑" w:eastAsia="微软雅黑"/>
                <w:b w:val="0"/>
                <w:sz w:val="18"/>
              </w:rPr>
              <w:t>13</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r>
              <w:rPr>
                <w:rFonts w:ascii="微软雅黑" w:hAnsi="微软雅黑" w:eastAsia="微软雅黑"/>
                <w:b w:val="0"/>
                <w:sz w:val="18"/>
              </w:rP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t>展示库增量接入的三项，逐项答复：一、水位线字段名，是否存在数据库侧单调递增序号；二、物理删除与原地更新的表达方式——是否有软删除标记，更新是否必定变更时间戳；三、能否提供逻辑复制（wal_level=logical、带 REPLICATION 属性的角色与建槽权限、由 DS 维护 PUBLICATION），若可行，展示库的 PostgreSQL 版本及其是否为物理备库。另需说明展示库是否存在整表重载式的 ETL 刷新</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增量机制的选择。只有时间戳时须加回看窗口。第二项是关键：若存在物理删除或不动时间戳的原地更新，水位轮询永远看不见这些变更，库内数据将与 CAD 长期不一致且不报错——此时必须靠 CDC 或滚动窗口校验补偿（DD-61）。第三项即便 DS 因运维风险拒绝，也需留下书面记录：客户答复中已有「新系统增量接入需具备 CDC 与 API 两种能力」一条，本方不提则形同回避。第四项若为整表重载，CDC 与水位轮询同时失效，两种方案都要改。</w:t>
            </w:r>
          </w:p>
        </w:tc>
        <w:tc>
          <w:tcPr>
            <w:tcW w:type="dxa" w:w="1701"/>
          </w:tcPr>
          <w:p>
            <w:pPr>
              <w:spacing w:after="40" w:before="40" w:line="283" w:lineRule="auto"/>
            </w:pPr>
            <w:r>
              <w:t>接口文档中明确字段名与语义；第三项以书面答复形式保留，无论同意与否</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r>
              <w:rPr>
                <w:rFonts w:ascii="微软雅黑" w:hAnsi="微软雅黑" w:eastAsia="微软雅黑"/>
                <w:b w:val="0"/>
                <w:sz w:val="16"/>
              </w:rP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r>
        <w:tc>
          <w:tcPr>
            <w:tcW w:type="dxa" w:w="1077"/>
          </w:tcPr>
          <w:p>
            <w:pPr>
              <w:spacing w:after="40" w:before="40" w:line="283" w:lineRule="auto"/>
            </w:pPr>
            <w:r/>
            <w:r>
              <w:rPr>
                <w:rFonts w:ascii="微软雅黑" w:hAnsi="微软雅黑" w:eastAsia="微软雅黑"/>
                <w:b w:val="0"/>
                <w:sz w:val="16"/>
              </w:rPr>
              <w:t>IR-42</w:t>
              <w:br/>
              <w:br/>
              <w:t>高</w:t>
            </w:r>
          </w:p>
        </w:tc>
        <w:tc>
          <w:tcPr>
            <w:tcW w:type="dxa" w:w="2381"/>
          </w:tcPr>
          <w:p>
            <w:pPr>
              <w:spacing w:after="40" w:before="40" w:line="283" w:lineRule="auto"/>
            </w:pPr>
            <w:r/>
            <w:r>
              <w:rPr>
                <w:rFonts w:ascii="微软雅黑" w:hAnsi="微软雅黑" w:eastAsia="微软雅黑"/>
                <w:b w:val="0"/>
                <w:sz w:val="16"/>
              </w:rPr>
              <w:t>归档库（SQL Server）的三项技术细节：一、SQL Server 版本；二、时间字段用的是 datetime、datetime2 还是 datetimeoffset；三、阿拉伯语字段是 nvarchar 还是带阿语 collation 的 varchar</w:t>
            </w:r>
          </w:p>
        </w:tc>
        <w:tc>
          <w:tcPr>
            <w:tcW w:type="dxa" w:w="1077"/>
          </w:tcPr>
          <w:p>
            <w:pPr>
              <w:spacing w:after="40" w:before="40" w:line="283" w:lineRule="auto"/>
            </w:pPr>
            <w:r/>
            <w:r>
              <w:rPr>
                <w:rFonts w:ascii="微软雅黑" w:hAnsi="微软雅黑" w:eastAsia="微软雅黑"/>
                <w:b w:val="0"/>
                <w:sz w:val="16"/>
              </w:rPr>
              <w:t>DS / 现有运维方</w:t>
            </w:r>
          </w:p>
        </w:tc>
        <w:tc>
          <w:tcPr>
            <w:tcW w:type="dxa" w:w="2608"/>
          </w:tcPr>
          <w:p>
            <w:pPr>
              <w:spacing w:after="40" w:before="40" w:line="283" w:lineRule="auto"/>
            </w:pPr>
            <w:r/>
            <w:r>
              <w:rPr>
                <w:rFonts w:ascii="微软雅黑" w:hAnsi="微软雅黑" w:eastAsia="微软雅黑"/>
                <w:b w:val="0"/>
                <w:sz w:val="16"/>
              </w:rPr>
              <w:t>第二项直接决定 REQ-MIG-08「保留原始时区」如何应答——若源端为 datetime 则根本不存在时区信息，我方能保真的只是源端存的那个值，须在迁移方案中如实表述而非等验收时才发现。第一项决定驱动兼容性（datetimeoffset 自 SQL Server 2008 起才有）。第三项决定字符集转换在哪一层做。</w:t>
            </w:r>
          </w:p>
        </w:tc>
        <w:tc>
          <w:tcPr>
            <w:tcW w:type="dxa" w:w="1701"/>
          </w:tcPr>
          <w:p>
            <w:pPr>
              <w:spacing w:after="40" w:before="40" w:line="283" w:lineRule="auto"/>
            </w:pPr>
            <w:r/>
            <w:r>
              <w:rPr>
                <w:rFonts w:ascii="微软雅黑" w:hAnsi="微软雅黑" w:eastAsia="微软雅黑"/>
                <w:b w:val="0"/>
                <w:sz w:val="16"/>
              </w:rPr>
              <w:t>与 IR-01、IR-12 同批向 DS 与现有运维方索取</w:t>
            </w:r>
          </w:p>
        </w:tc>
      </w:tr>
      <w:tr>
        <w:tc>
          <w:tcPr>
            <w:tcW w:type="dxa" w:w="1077"/>
          </w:tcPr>
          <w:p>
            <w:pPr>
              <w:spacing w:after="40" w:before="40" w:line="283" w:lineRule="auto"/>
            </w:pPr>
            <w:r>
              <w:t>IR-43  高</w:t>
            </w:r>
          </w:p>
        </w:tc>
        <w:tc>
          <w:tcPr>
            <w:tcW w:type="dxa" w:w="2381"/>
          </w:tcPr>
          <w:p>
            <w:pPr>
              <w:spacing w:after="40" w:before="40" w:line="283" w:lineRule="auto"/>
            </w:pPr>
            <w:r>
              <w:t>归档库的物理形态：一、是单一数据库经历次原地升级（表结构为当前一套、旧行在后加字段上为空），还是多代系统的表集并存；二、是否留存任何 DDL 变更记录、发布说明或升级工单，哪怕不完整；三、若为原地升级，历次升级的大致时点</w:t>
            </w:r>
          </w:p>
        </w:tc>
        <w:tc>
          <w:tcPr>
            <w:tcW w:type="dxa" w:w="1077"/>
          </w:tcPr>
          <w:p>
            <w:pPr>
              <w:spacing w:after="40" w:before="40" w:line="283" w:lineRule="auto"/>
            </w:pPr>
            <w:r>
              <w:t>DS / 现有运维方</w:t>
            </w:r>
          </w:p>
        </w:tc>
        <w:tc>
          <w:tcPr>
            <w:tcW w:type="dxa" w:w="2608"/>
          </w:tcPr>
          <w:p>
            <w:pPr>
              <w:spacing w:after="40" w:before="40" w:line="283" w:lineRule="auto"/>
            </w:pPr>
            <w:r>
              <w:t>决定 raw 层的物理落法（DD-58）。若为原地升级，「按源端原样落地」就是一张表，版本号是 staging 推断出的标签；若为多代并存，则每代各落一张表。第二项即使只拿到片段，也能把 DD-37 的版本边界反推从「纯统计推断」降为「统计推断 + 已知锚点」，可靠性差别很大——AS-02 假设拿不到，但值得正式问一次而非默认没有。</w:t>
            </w:r>
          </w:p>
        </w:tc>
        <w:tc>
          <w:tcPr>
            <w:tcW w:type="dxa" w:w="1701"/>
          </w:tcPr>
          <w:p>
            <w:pPr>
              <w:spacing w:after="40" w:before="40" w:line="283" w:lineRule="auto"/>
            </w:pPr>
            <w:r>
              <w:t>与 IR-42 同批向 DS 与现有运维方索取，第二项明确说明「不完整也要」</w:t>
            </w:r>
          </w:p>
        </w:tc>
      </w:tr>
      <w:tr>
        <w:tc>
          <w:tcPr>
            <w:tcW w:type="dxa" w:w="1077"/>
          </w:tcPr>
          <w:p>
            <w:pPr>
              <w:spacing w:after="40" w:before="40" w:line="283" w:lineRule="auto"/>
            </w:pPr>
            <w:r>
              <w:t>IR-44  高</w:t>
            </w:r>
          </w:p>
        </w:tc>
        <w:tc>
          <w:tcPr>
            <w:tcW w:type="dxa" w:w="2381"/>
          </w:tcPr>
          <w:p>
            <w:pPr>
              <w:spacing w:after="40" w:before="40" w:line="283" w:lineRule="auto"/>
            </w:pPr>
            <w:r>
              <w:t>移动端并发规模：注册用户数、峰值并发会话数、是否经移动路径下载大附件。</w:t>
            </w:r>
          </w:p>
        </w:tc>
        <w:tc>
          <w:tcPr>
            <w:tcW w:type="dxa" w:w="1077"/>
          </w:tcPr>
          <w:p>
            <w:pPr>
              <w:spacing w:after="40" w:before="40" w:line="283" w:lineRule="auto"/>
            </w:pPr>
            <w:r>
              <w:t>MOI / 总包商</w:t>
            </w:r>
          </w:p>
        </w:tc>
        <w:tc>
          <w:tcPr>
            <w:tcW w:type="dxa" w:w="2608"/>
          </w:tcPr>
          <w:p>
            <w:pPr>
              <w:spacing w:after="40" w:before="40" w:line="283" w:lineRule="auto"/>
            </w:pPr>
            <w:r>
              <w:t>决定 DMZ 两台接入代理（各 4 vCPU、8 GB）的规格是否够用。只影响这一对代理，不影响其它虚机；但代理位于总包商运维的 DMZ 区内（CN-30），扩容不是本方可自行解决的事，故需在资源提交前取得。</w:t>
            </w:r>
          </w:p>
        </w:tc>
        <w:tc>
          <w:tcPr>
            <w:tcW w:type="dxa" w:w="1701"/>
          </w:tcPr>
          <w:p>
            <w:pPr>
              <w:spacing w:after="40" w:before="40" w:line="283" w:lineRule="auto"/>
            </w:pPr>
            <w:r>
              <w:t>随虚机资源需求表一并向总包商提出，与 T-32 同一问题的两处登记。</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SQL Server（Hexagon 原生），读取的是 archive 副本库而非生产库；一次性复制；旧系统会下线；归档库中无 ICP 数据。【2026-09 更正】此前记录为「归档库为 PostgreSQL」，系早期沟通的误记，已按实际更正</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t>IR-01 至 IR-07 · IR-41 · IR-42 · IR-43</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