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发布与回滚、离线补丁，以及对基础设施提供方的二十一条放置与隔离要求。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二十一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章的二十一条要求会被理解为过度设计，而实际上它们每一条都能回溯到这两个数字。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2"/>
      </w:pPr>
      <w:r>
        <w:t>3.3  ETL 节点：Airflow 双活</w:t>
      </w:r>
    </w:p>
    <w:p>
      <w:pPr>
        <w:pStyle w:val="Heading2"/>
      </w:pPr>
      <w:r>
        <w:t>【2026-10-24 补充，DD-85 的一条遗漏前提】「scheduler 无状态」成立的条件之一是 Airflow 的两把密钥是共享配置而不是节点本地状态：[api_auth] jwt_secret（scheduler 签发任务令牌、API server 校验）与 [core] fernet_key（加密元数据库中的连接口令）。二者默认在首次启动时各节点随机生成，双活下任务在另一台汇报即被拒、口令在另一台解不开，且是间歇性的，单机开发环境永远复现不了。处置：由剧本生成一次、存 /etc/oss911/airflow.env（0600）、各节点同一份、已有密钥优先纳管；轮换进 runbook/91（fernet_key 轮换须按 Airflow 的多密钥重加密流程）。另：新 DAG 保持创建即暂停，首次上线由人工开启，列为验收步骤（初始化水位 → 开启 → 确认首个任务成功）；此后的重复部署不得改变 DAG 的暂停状态——源的启停只认 meta.source_contract.enabled，DAG 暂停不是第二个开关。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Airflow、dbt 与接入程序运行在 ETL-1、ETL-2 两台虚机上（DD-85）。两台都运行 Airflow 的全部组件——api-server、scheduler、dag-processor、triggerer——执行器为 LocalExecutor，元数据库置于 PostgreSQL 高可用集群中的独立数据库（DD-44）。两台同时工作，不分主备。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双活靠的是 scheduler 本身不保存状态：任务的依赖关系、每个任务实例的状态、pool 的占用全部在元数据库里。两个 scheduler 各自循环，每一轮查询「依赖已满足、可以运行」的任务，以数据库行锁锁住选中的任务实例后再启动，另一个 scheduler 遇到锁即跳过——同一任务不会被两边同时执行，谁锁到就在谁的机器上运行。接入程序与 dbt 作为子进程，在锁到任务的那台机器上运行。任务之间的依赖照常生效：上游未完成，下游不会进入可运行的名单，无论由哪个 scheduler 判断，结论相同。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一台机器失效时，它正在运行的任务失去心跳，超时后被标为失败，按重试次数由另一台重跑。这对任务提出三条要求，缺一条双活就不成立：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一、能重跑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失败不推进水位，写 raw 按内容去重（LD-01 · DD-82），重跑最多白跑一次，不产生重复数据。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二、不依赖在哪台机器上运行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任务之间只经数据库或对象存储交接，不经本地文件。取数任务若把文件存在 ETL-1 的本地磁盘，下一个任务被 ETL-2 锁到时就读不到。这类错误是间歇性的——取决于两个任务碰巧是否落在同一台上——且在单机的开发环境中永远不会出现。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三、有并发限制的用 pool 约束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pool 是元数据库中的一行，整个集群共用，不是每台机器各一个。scheduler 启动任务前在同一事务中锁住 pool 行、核对占用，有空位才启动；另一个 scheduler 须等锁释放，再看时已无空位。ICP 话单下载一个 pool（icp_cms），dbt 构建一个 pool（dbt_build），各 1 个槽位：前者因 ICP 接口不支持并发下载，后者因两台同时运行 dbt 会使线程总数超过 pgBouncer 会话池而卡住不报错（DD-67）。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pool 只约束经 Airflow 启动的任务。接入程序可以手工执行以补数（LD-01 2.5），手工的那一次绕过 pool。因此接入程序自身在运行期间按源持有一把 PostgreSQL 咨询锁，拿不到即以退出码 1 退出——无论由 Airflow 还是由人启动，同一源同一时刻只有一个实例在取数。该锁须经 pgBouncer 的会话池，事务池会使咨询锁随机失效（DD-67）。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两台的 venv、DAG 文件与凭据文件必须一致，由同一套剧本部署；开发环境为单台，上述第二条与 pool 的约束只有在双活下才会被真正检验，测试环境须安排一次双节点验证。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>
      <w:pPr>
        <w:pStyle w:val="Heading2"/>
      </w:pPr>
      <w:r>
        <w:t>【2026-10-24 补充】每次发布都完整执行 site.yml 中的部署步骤（40-schema → 45-contracts → 50-dags 等），不按「这次改了什么」挑步骤跑：每一步都必须可重复执行，未变化的内容跳过。45-contracts 对契约按三支判断（同版本同内容跳过、同版本不同内容失败、低版本拒绝），并在数据库同步提交后重新生成 DAG 发布清单，清单因此永远反映本次发布结束时数据库中的契约。从 release.yml 中删去一份契约不删除库内副本、也不会停掉它的 DAG；停一个源只认 meta.source_contract.enabled，彻底下线一个源是一次结构变更加清单变更，不是只改清单。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2"/>
      </w:pPr>
      <w:r>
        <w:t>7.5  结构变更：数据库结构怎么上线、怎么记版本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数据库结构按编号的「结构变更」逐个执行。用词刻意不叫「迁移」：本项目中「迁移」专指 Hexagon 归档数据的迁入（CN-15 · CN-16 · DD-37），两件事若同名，交接时一检索就会混成两类毫不相干的东西（DD-73）。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机制有四条。一、清单 ddl/changes.yml 记「编号 → 文件列表」，初始结构 ddl/01..05 原样作为变更 0001。二、每执行一个变更，在 meta.ddl_change 中登记一行，记文件列表与拼接后的 SHA-256；该表与 meta.release_registry 并列，一次发布可含零到多个变更。三、每个变更的全部文件连同其登记行在同一个事务中执行，中途失败整体回滚，不留半套结构。四、执行器发现某个已执行变更的文件校验和变了，必须失败并报出新旧两个值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第四条是这套机制的要害。幂等性来自「这个变更执行过没有」，而不是「这个对象存不存在」——后者是 IF NOT EXISTS 的思路，在表已存在但定义变了时会静默跳过，第二遍跑完一切正常，库里却还是旧结构。只要允许改已执行的文件，各环境的实际结构就会与仓库悄悄失同步，而且没有任何报错。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因此回退不是撤销：已执行的变更永不改动，回退以新增一个反向变更实现，并同样登记。这与登记册「不改写、只新增」是同一条规矩，也使任意一个环境的结构都可以由 meta.ddl_change 的登记行逐条复原。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执行器为 Ansible 加 psql，不另写工具，也不引入 Flyway、Alembic 一类：两者已在生产链上，多一个工具就多一份要送进离网环境、要维护八年的依赖（DD-70）。变更 0000 至 0002 以超级用户执行（建扩展、建角色），此后的变更在事务开头切换到属主角色，使新对象归属主而不归执行者（DD-74 · LD-02 第 13 章）。</w:t>
      </w:r>
    </w:p>
    <w:p>
      <w:pPr>
        <w:pStyle w:val="Heading1"/>
      </w:pPr>
      <w:r>
        <w:t>8  资源需求</w:t>
      </w:r>
    </w:p>
    <w:p>
      <w:pPr>
        <w:pStyle w:val="Heading1"/>
      </w:pPr>
      <w:r>
        <w:t>【2026-10-19 补充，DD-90】集群内增加一个 database：cad_mirror，由 DS 的同步程序经专用写入角色写入，结构为 CAD 74 张表原样。它与 oss911 同集群、同 Patroni 高可用、同备份策略，但是独立的 database：写入角色只是该库的属主，对 oss911 零权限。容量按每日数万行、八年估算，相对主库可忽略。网络上需开通 CAD 区到数据库区的入向写入通道，经 pgBouncer（session 模式，单独池）而非直连主库；该通道属 CN-13/14 同类的前置门，须 MOI 批准。本方集群切换期间 DS 的写入会短暂失败，其重试与缓冲由 DS 负责，写入中间库规范。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生产环境分两个网络区。内网区 22 台，承载全部数据处理、存储与受控数据交付。DMZ 为 internet 接入区，该区本身连同 WAF、DDoS 防护、公网域名与证书、短信与邮件网关均由总包商提供并运维（CN-30）；本方在该区内只有一件东西——2 台接入代理，为移动端提供 TLS 终止与到内网负载均衡的反向代理（CN-31 · IF-40）。这两台此前未出现在资源表中，是本次补上的漏项（CN-37）。代理不保留任何业务数据与凭据，响应不落盘，访问日志实时外送内网监控，本地只留轮转窗口；移动应用管理（MDM、应用分发、设备合规）由 MOI 既有平台承担，不在本方范围。两台按 TLS 终止的开销各给 4 vCPU、8 GB，所依据的移动端并发规模尚未确认（IR-44 / T-32）——该数字只决定这一对代理够不够用，不影响其它任何虚机。</w:t>
      </w:r>
    </w:p>
    <w:p>
      <w:pPr/>
      <w:r>
        <w:t>连接层的顺序是 应用 → pgBouncer → HAProxy → 当前主库（DD-67）。pgBouncer 自己不会找主库，知道谁是主的是 Patroni，HAProxy 读它的 REST 健康检查；把 HAProxy 放在 pgBouncer 之后，pgBouncer 的后端就永远是本机地址，主库易主与它无关。每台 LB 上两个池：业务查询走事务级，Airflow、dbt 与人工运维走会话级——事务级省连接但不保证 SET、临时表与 advisory lock 落在同一后端，而后者正是 ETL 依赖的。会话池的大小即 dbt 的并发上限，两个数必须一起调。LB 对按 active/passive 部署：常态只有一份池在用，但 VIP 漂移的瞬间新接管方会建自己的池而旧连接尚未断尽，因此连接预算按叠加计。据此生产库的 max_connections 由 100 提至 200——不是因为需要 200 个并发，而是要给切换瞬间的叠加与临时人工连接留名额；每连接的固定内存开销在几百 KB 量级，对 64 至 96 GB 的库机可忽略，真正吃内存的 work_mem 由并发查询数决定，而池化之后活跃查询一直很少。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虚机规格本身不产生可用性。主机与存储的隔离方式决定服务等级能否达成。以下二十一条是本设计的可靠性基础，构成对基础设施提供方的输入。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这八项的责任方全部在本方之外，且其中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以编号的「结构变更」随制品发布，只能前滚：已执行的变更不得修改，回退以新增一个反向变更实现（见 7.5 · DD-73）。破坏性变更（删列、改类型）单独评审并安排在维护窗口。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/ 154 / 588 / 47.6。完整高可用，承载 1.5.2.9 的服务等级。其中内网区 22 / 146 / 572 / 47.4，DMZ 接入区 2 / 8 / 16 / 0.2。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29 / 190 / 732 / 52.0。不含对象存储的增长余量。存储按 1 TB = 1024 GB 折算。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任何虚机不具备互联网出向访问，DMZ 接入代理亦然；补丁经内网镜像源分发。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DMZ 接入代理只接受经平台 WAF 转发的入向流量，向内网仅在指定端口上单向发起；内网不向 DMZ 发起连接。WAF、DDoS 防护、公网域名与证书由平台提供。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生产库的 max_connections 不低于 200，且 LB 对按 active/passive 部署。连接预算须按切换瞬间两份池叠加计算，不得按常态单份计（DD-67）。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每台 LB 节点上 pgBouncer 与 HAProxy 同机部署，pgBouncer 的后端指向本机回环；HAProxy 的健康检查必须使用 Patroni 的 REST /primary，不得使用 TCP 端口探活——备库端口同样可连，TCP 探活会把写流量送至只读备库。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NW-06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 CA 能为数据库虚机与负载均衡节点签发服务端证书，且证书中的 CRL 或 OCSP 吊销点在内网可达。库连接与复制流量按 LD-07 第 7 章启用 TLS（sslmode = verify-full）。吊销点若指向外网，离网环境中 TLS 握手不是报错而是超时，表现为连接间歇性卡住数十秒且错误信息不提证书——属最难排查的一类故障。另须给出证书的轮换周期与通知方式。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T-32 移动端并发规模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注册用户数、峰值并发、是否经移动路径下载大附件。决定 DMZ 两台接入代理是否够用，不影响其它虚机。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T-33 DMZ 侧平台供给与移动应用管理归属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WAF、DDoS、公网域名与证书是否由平台提供；移动应用管理是否由 MOI 既有平台承担。两项均按不在本方范围计入资源与报价（CN-37），若需本方承担则范围须重新评估。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