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 【2026-10-24 补充】契约只有一个运行期读取点：数据库。Airflow 的 DAG 不读契约 YAML，只读部署步骤在数据库同步提交之后、作为最后一步原子写出的发布清单（每源的 source_id、schedule、pool、contract_version；写临时文件再 rename）。校验或同步失败时清单不会被写；数据库提交与写清单是两个操作、不是一个原子操作——提交后写清单失败属「发布未完成」，剧本报错，重跑即使全部契约判定为未变化也必须重新生成并分发清单，两个 ETL 节点的清单都更新并验证通过才算发布完成，部署锁的持有范围覆盖到清单分发结束，防止较早的部署最后写入旧清单（2026-10-24 评审更正）；若 DAG 直接读文件，无论目录覆盖顺序如何安排，总有一个窗口两边不一致，且发布失败后行为已变。候选目录中先做契约校验与 DagBag 解析验证，再同步数据库，再写清单。 清单的生成依据是数据库中仍受管理的全部源（含 enabled = false 的），不是本次 release.yml：从清单删去一份契约不删库内副本，它的 DAG 也必须保留。pool 映射因此在仓库中单独维护为 contracts/pools.yml，覆盖全部受管源；库内有源而映射缺失，发布失败。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 第三种模式 resweep（每日回扫）：窗口由 DAG 以逻辑日期（data_interval）显式传入，不由程序按执行当天计算——延迟到次日执行或跨日重试都必须扫原定的那一天；回扫 DAG 开 catchup = true 并限 max_active_runs = 1，停机漏掉的日期按逻辑日期逐个补跑；增量 DAG 维持 catchup = false，两者相反是有意的。回扫不动水位。回扫结束统计「至今无末腿的 CALLID 数」分两个口径：已收到末腿（不论批次状态）与已有可用末腿（排除 pending 与 discarded 批次），判断收尾是否完成用后者。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 【2026-10-21 评审补充】三处并发约定：一、部署同步对该源的 meta.source_contract 行先 SELECT … FOR UPDATE，拿到锁后再读覆盖值做兼容校验，持有到提交；二、M-01 写 meta.source_runtime_param 前对同一契约行 FOR SHARE——部署与热调互斥，热调之间不互斥；三、接入程序启动时契约、版本、enabled 与覆盖值从同一数据库快照读出（一条查询或一个 REPEATABLE READ 事务），读完即固定为本次配置，下载期间不持锁。校验分两层：通用层（版本、键引用列存在、重复键）与按连接器和源类型的必填层；必填项缺失（如 ICP 话单的 endpoint.path、window.lookback_minutes、enums.call_type.values）是配置错误，启动时以退出码 2 结束，不得进入数据路径被当作数据质量问题处理。 【2026-10-24 补充】增量模式在该源没有水位时拒绝运行（退出码 2）；首个水位由人工执行一次增量命令并显式给出 --start-at 建立（首批成功提交后水位即存在），不由「开启 DAG」隐式决定；backfill 不建立也不推进水位（DD-89），不能用它初始化。任务超时（首版 30 分钟）杀掉的只是当前批：事务按批提交，下次运行从已提交批次之后继续，长缺口追数每次都有净进展；接入程序收到 SIGTERM 须回滚当前批并正常退出，咨询锁随会话释放。window.schedule 对有调度的源是必填项，校验器查 cron 语法。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TC-ING-02「更新后延迟提交」通过后再议；三、中间库即交接点，中间库与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