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 中间库规范</w:t>
      </w:r>
    </w:p>
    <w:p>
      <w:r>
        <w:t>CAD Mirror Database Specification · 版本 0.6（征求 DS 意见稿） · 2026-10-26</w:t>
      </w:r>
    </w:p>
    <w:p>
      <w:r>
        <w:t>提出方：Nexora-BI（OSS911 BI 与数据仓库子系统）。接收方：DS（CAD 方）。本规范描述 DS 向 Nexora-BI 托管的 PostgreSQL 中间库写入 CAD 数据的约定。文中标「【请 DS 填写】」的是需要 DS 答复的空白；双方确认后会签，作为 IF-02 接口协议的附件。</w:t>
      </w:r>
    </w:p>
    <w:p>
      <w:pPr>
        <w:pStyle w:val="Heading1"/>
      </w:pPr>
      <w:r>
        <w:t>1  目的与边界</w:t>
      </w:r>
    </w:p>
    <w:p>
      <w:r>
        <w:t>中间库是 CAD 与 BI 之间的交接点。DS 负责把 CAD 数据持续写入中间库并保证其与 CAD 一致；Nexora-BI 负责中间库的运行、备份与高可用，并从中间库读取数据。双方责任以中间库为界：中间库里有的，BI 负责算对；中间库里没有或不对的，由 DS 负责。</w:t>
      </w:r>
    </w:p>
    <w:p>
      <w:r>
        <w:t>中间库的表结构是 CAD 数据视图的原样（《Bill同步CAD表数据结构》Table Lists 页签所列 74 张表，用英文视图名与翻译列名，全部列、不筛选），不是 BI 的数据模型。BI 不要求 DS 做任何字段映射或业务转换。</w:t>
      </w:r>
    </w:p>
    <w:p>
      <w:pPr>
        <w:pStyle w:val="Heading1"/>
      </w:pPr>
      <w:r>
        <w:t>2  数据库与连接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项</w:t>
            </w:r>
          </w:p>
        </w:tc>
        <w:tc>
          <w:tcPr>
            <w:tcW w:type="dxa" w:w="6803"/>
          </w:tcPr>
          <w:p>
            <w:r>
              <w:rPr>
                <w:b/>
              </w:rPr>
              <w:t>约定</w:t>
            </w:r>
          </w:p>
        </w:tc>
      </w:tr>
      <w:tr>
        <w:tc>
          <w:tcPr>
            <w:tcW w:type="dxa" w:w="2268"/>
          </w:tcPr>
          <w:p>
            <w:r>
              <w:t>产品与版本</w:t>
            </w:r>
          </w:p>
        </w:tc>
        <w:tc>
          <w:tcPr>
            <w:tcW w:type="dxa" w:w="6803"/>
          </w:tcPr>
          <w:p>
            <w:r>
              <w:t>PostgreSQL 16（Nexora-BI 托管，Patroni 高可用集群）</w:t>
            </w:r>
          </w:p>
        </w:tc>
      </w:tr>
      <w:tr>
        <w:tc>
          <w:tcPr>
            <w:tcW w:type="dxa" w:w="2268"/>
          </w:tcPr>
          <w:p>
            <w:r>
              <w:t>数据库名</w:t>
            </w:r>
          </w:p>
        </w:tc>
        <w:tc>
          <w:tcPr>
            <w:tcW w:type="dxa" w:w="6803"/>
          </w:tcPr>
          <w:p>
            <w:r>
              <w:t>cad_mirror（与 BI 自身的数据库 oss911 同集群、不同 database，互不可见）</w:t>
            </w:r>
          </w:p>
        </w:tc>
      </w:tr>
      <w:tr>
        <w:tc>
          <w:tcPr>
            <w:tcW w:type="dxa" w:w="2268"/>
          </w:tcPr>
          <w:p>
            <w:r>
              <w:t>schema</w:t>
            </w:r>
          </w:p>
        </w:tc>
        <w:tc>
          <w:tcPr>
            <w:tcW w:type="dxa" w:w="6803"/>
          </w:tcPr>
          <w:p>
            <w:r>
              <w:t>cad（全部 74 张表）；cad_meta（心跳与同步日志，见第 5 节）</w:t>
            </w:r>
          </w:p>
        </w:tc>
      </w:tr>
      <w:tr>
        <w:tc>
          <w:tcPr>
            <w:tcW w:type="dxa" w:w="2268"/>
          </w:tcPr>
          <w:p>
            <w:r>
              <w:t>写入账号</w:t>
            </w:r>
          </w:p>
        </w:tc>
        <w:tc>
          <w:tcPr>
            <w:tcW w:type="dxa" w:w="6803"/>
          </w:tcPr>
          <w:p>
            <w:r>
              <w:t>cad_mirror_writer：只有连接、两个 schema 的使用权、cad 下各表的查询 / 插入 / 更新（UPSERT 所需）、cad_meta 下各表的插入。没有建表、删除、TRUNCATE、改触发器的权限；对 oss911 库无任何权限。库与表的属主是 Nexora-BI 的不可登录角色。角色上设有单条语句与事务空闲超时（见 4 节）。凭据由 Nexora-BI 生成、定期轮换，经双方约定的渠道交付，不出现在任何文档、邮件正文或代码仓库中</w:t>
            </w:r>
          </w:p>
        </w:tc>
      </w:tr>
      <w:tr>
        <w:tc>
          <w:tcPr>
            <w:tcW w:type="dxa" w:w="2268"/>
          </w:tcPr>
          <w:p>
            <w:r>
              <w:t>连接入口</w:t>
            </w:r>
          </w:p>
        </w:tc>
        <w:tc>
          <w:tcPr>
            <w:tcW w:type="dxa" w:w="6803"/>
          </w:tcPr>
          <w:p>
            <w:r>
              <w:t>pgBouncer，端口 6432，session 模式，TLS 必需。地址：【请 DS 填写来源 IP 段，Nexora-BI 据此申请网络开通】</w:t>
            </w:r>
          </w:p>
        </w:tc>
      </w:tr>
      <w:tr>
        <w:tc>
          <w:tcPr>
            <w:tcW w:type="dxa" w:w="2268"/>
          </w:tcPr>
          <w:p>
            <w:r>
              <w:t>字符集 / 时区</w:t>
            </w:r>
          </w:p>
        </w:tc>
        <w:tc>
          <w:tcPr>
            <w:tcW w:type="dxa" w:w="6803"/>
          </w:tcPr>
          <w:p>
            <w:r>
              <w:t>UTF-8；数据库时区 Asia/Riyadh；datetime 类字段按本地时间写入（与 CAD 一致，Q14 答复）</w:t>
            </w:r>
          </w:p>
        </w:tc>
      </w:tr>
      <w:tr>
        <w:tc>
          <w:tcPr>
            <w:tcW w:type="dxa" w:w="2268"/>
          </w:tcPr>
          <w:p>
            <w:r>
              <w:t>环境</w:t>
            </w:r>
          </w:p>
        </w:tc>
        <w:tc>
          <w:tcPr>
            <w:tcW w:type="dxa" w:w="6803"/>
          </w:tcPr>
          <w:p>
            <w:r>
              <w:t>生产与开发测试各一套；DS 同时向两套推送（开发测试环境可为脱敏数据或子集）【请 DS 确认】</w:t>
            </w:r>
          </w:p>
        </w:tc>
      </w:tr>
    </w:tbl>
    <w:p/>
    <w:p>
      <w:pPr>
        <w:pStyle w:val="Heading1"/>
      </w:pPr>
      <w:r>
        <w:t>3  表结构</w:t>
      </w:r>
    </w:p>
    <w:p>
      <w:r>
        <w:t>3.1  DDL 由 Nexora-BI 按《Bill同步CAD表数据结构》生成（PostgreSQL 语法，表名列名按 Table Lists 与翻译列、全部小写），交 DS 核对会签后由 Nexora-BI 执行；与上一代中间库的做法相同，DS 只负责写入。DS 须核对的是：每张表的主键列；列是否齐全；类型映射是否会使写入失败。</w:t>
      </w:r>
    </w:p>
    <w:p>
      <w:r>
        <w:t>3.1a  列名调整。翻译列中 21 个列名是 PostgreSQL 保留字（Order、Primary、Collation），建表即语法错误，Nexora-BI 已改名且不加引号：Order → sort_order（19 处）、Primary → is_primary（t_UnitVehicle.sfsy）、Collation → sort_rule（t_AgencyEventColumnSetting.pxgz）；另 t_DispatchPlan.yxj（优先级）原译 Order 系翻译错误，改为 priority。此外两处同一表内两个源字段译成同一英文名，暂以序号后缀区分，请 DS 给出正确译名：t_CommonEvent.jjyxm（现 recalarmpersonid_26，与另一列重名）、t_UnitInstruction.zldbh（现 orderid_7，与 OrderID 重名）。完整对照见随附的列目录 cad_mirror_catalog.csv。</w:t>
      </w:r>
    </w:p>
    <w:p>
      <w:r>
        <w:t>3.2  类型映射（宁宽勿严，写入不得因类型失败）：nvarchar / varchar / char → text；datetime / datetime2 → timestamp（本地时间，不带时区）；bigint / int / tinyint → bigint；bit → boolean；decimal / money / float → numeric；uniqueidentifier → text；varbinary / image → bytea。经纬度原为文本的保持文本。Nexora-BI 在后续处理层再收紧类型。</w:t>
      </w:r>
    </w:p>
    <w:p>
      <w:r>
        <w:t>3.3  每张表由 Nexora-BI 追加两列并建触发器，DS 写入时不填、不改：mirror_inserted_at（首次写入时刻）、mirror_updated_at（每次 UPDATE 时刻）。DS 的 UPSERT 语句不得列出这两列。触发器与函数属 Nexora-BI，DS 账号无权修改。</w:t>
      </w:r>
    </w:p>
    <w:p>
      <w:r>
        <w:t>3.4  补充表：VW_Get_EventType、VW_Get_EventSubType（案由，Q01 答复）、t_bd_dw（单位，Q02 答复）同样作为表写入 cad schema，结构【请 DS 提供】。</w:t>
      </w:r>
    </w:p>
    <w:p>
      <w:r>
        <w:t>3.5  结构变更：DS 须提前至少 10 个工作日书面通知（新增列、改类型、新增表），提供新 DDL；Nexora-BI 执行后通知 DS 切换。不得在未通知的情况下改变列的含义或类型。新增列在通知前可先为空。</w:t>
      </w:r>
    </w:p>
    <w:p>
      <w:r>
        <w:t>3.6  完整目录。《Bill同步CAD表数据结构》的 74 张表是上一代 BI 按其需要选定的范围，未必是 CAD 的全部表与列。请 DS 提供 CAD 原库的完整目录（information_schema.columns 导出：schema、表名、列名、类型、是否可空、主键标记即可，不需要 DDL），供 Nexora-BI 判断是否需要增加表或列。同步程序为 PG 到 PG，请原样保留大小写、尾随空格、空串与 NULL，不经 CSV 或 ORM 中转改写取值。</w:t>
      </w:r>
    </w:p>
    <w:p>
      <w:pPr>
        <w:pStyle w:val="Heading1"/>
      </w:pPr>
      <w:r>
        <w:t>4  写入方式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68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按主键 UPSERT</w:t>
            </w:r>
          </w:p>
        </w:tc>
        <w:tc>
          <w:tcPr>
            <w:tcW w:type="dxa" w:w="6803"/>
          </w:tcPr>
          <w:p>
            <w:r>
              <w:t>INSERT … ON CONFLICT (主键) DO UPDATE。每张表必须有主键；没有自然主键的表【请 DS 指出】</w:t>
            </w:r>
          </w:p>
        </w:tc>
      </w:tr>
      <w:tr>
        <w:tc>
          <w:tcPr>
            <w:tcW w:type="dxa" w:w="2268"/>
          </w:tcPr>
          <w:p>
            <w:r>
              <w:t>不 TRUNCATE、不整表重载</w:t>
            </w:r>
          </w:p>
        </w:tc>
        <w:tc>
          <w:tcPr>
            <w:tcW w:type="dxa" w:w="6803"/>
          </w:tcPr>
          <w:p>
            <w:r>
              <w:t>任何表都不得以 TRUNCATE 或 DELETE 全表后重灌的方式刷新。整表重载会使全部行被标记为已变更，BI 侧的增量机制失效</w:t>
            </w:r>
          </w:p>
        </w:tc>
      </w:tr>
      <w:tr>
        <w:tc>
          <w:tcPr>
            <w:tcW w:type="dxa" w:w="2268"/>
          </w:tcPr>
          <w:p>
            <w:r>
              <w:t>不物理删除</w:t>
            </w:r>
          </w:p>
        </w:tc>
        <w:tc>
          <w:tcPr>
            <w:tcW w:type="dxa" w:w="6803"/>
          </w:tcPr>
          <w:p>
            <w:r>
              <w:t>与 Q11 答复一致：CAD 不删除业务数据，中间库亦不删除。若 CAD 存在逻辑删除标志，按原列写入</w:t>
            </w:r>
          </w:p>
        </w:tc>
      </w:tr>
      <w:tr>
        <w:tc>
          <w:tcPr>
            <w:tcW w:type="dxa" w:w="2268"/>
          </w:tcPr>
          <w:p>
            <w:r>
              <w:t>字典表</w:t>
            </w:r>
          </w:p>
        </w:tc>
        <w:tc>
          <w:tcPr>
            <w:tcW w:type="dxa" w:w="6803"/>
          </w:tcPr>
          <w:p>
            <w:r>
              <w:t>14 张 t_dm_* 字典表同样按主键 UPSERT；字典项停用以 yxbz / scbz 表示，不删行</w:t>
            </w:r>
          </w:p>
        </w:tc>
      </w:tr>
      <w:tr>
        <w:tc>
          <w:tcPr>
            <w:tcW w:type="dxa" w:w="2268"/>
          </w:tcPr>
          <w:p>
            <w:r>
              <w:t>同步频率</w:t>
            </w:r>
          </w:p>
        </w:tc>
        <w:tc>
          <w:tcPr>
            <w:tcW w:type="dxa" w:w="6803"/>
          </w:tcPr>
          <w:p>
            <w:r>
              <w:t>【请 DS 填写】建议不大于 1 分钟一次；单条记录从 CAD 写入到出现在中间库的延迟上限【请 DS 填写】</w:t>
            </w:r>
          </w:p>
        </w:tc>
      </w:tr>
      <w:tr>
        <w:tc>
          <w:tcPr>
            <w:tcW w:type="dxa" w:w="2268"/>
          </w:tcPr>
          <w:p>
            <w:r>
              <w:t>事务</w:t>
            </w:r>
          </w:p>
        </w:tc>
        <w:tc>
          <w:tcPr>
            <w:tcW w:type="dxa" w:w="6803"/>
          </w:tcPr>
          <w:p>
            <w:r>
              <w:t>一次同步周期内，同一张表的写入在一个事务中提交；跨表不要求原子</w:t>
            </w:r>
          </w:p>
        </w:tc>
      </w:tr>
      <w:tr>
        <w:tc>
          <w:tcPr>
            <w:tcW w:type="dxa" w:w="2268"/>
          </w:tcPr>
          <w:p>
            <w:r>
              <w:t>首次全量</w:t>
            </w:r>
          </w:p>
        </w:tc>
        <w:tc>
          <w:tcPr>
            <w:tcW w:type="dxa" w:w="6803"/>
          </w:tcPr>
          <w:p>
            <w:r>
              <w:t>历史数据范围【请 DS 填写：自 CAD 上线起？】；首次全量灌入由 DS 在约定窗口执行，Nexora-BI 在灌入完成后再启动增量读取</w:t>
            </w:r>
          </w:p>
        </w:tc>
      </w:tr>
      <w:tr>
        <w:tc>
          <w:tcPr>
            <w:tcW w:type="dxa" w:w="2268"/>
          </w:tcPr>
          <w:p>
            <w:r>
              <w:t>失败与重试</w:t>
            </w:r>
          </w:p>
        </w:tc>
        <w:tc>
          <w:tcPr>
            <w:tcW w:type="dxa" w:w="6803"/>
          </w:tcPr>
          <w:p>
            <w:r>
              <w:t>Nexora-BI 集群切换期间（通常数十秒）写入会失败。DS 侧须有重试与缓冲，不丢数据；策略【请 DS 填写】</w:t>
            </w:r>
          </w:p>
        </w:tc>
      </w:tr>
      <w:tr>
        <w:tc>
          <w:tcPr>
            <w:tcW w:type="dxa" w:w="4873"/>
          </w:tcPr>
          <w:p>
            <w:r>
              <w:t>周期串行</w:t>
            </w:r>
          </w:p>
        </w:tc>
        <w:tc>
          <w:tcPr>
            <w:tcW w:type="dxa" w:w="4873"/>
          </w:tcPr>
          <w:p>
            <w:r>
              <w:t>同一时刻只运行一个同步周期；下一周期在上一周期的心跳写入之后才开始。Nexora-BI 以心跳判断哪些数据已经提交完毕，周期重叠会使这个判断失效</w:t>
            </w:r>
          </w:p>
        </w:tc>
      </w:tr>
      <w:tr>
        <w:tc>
          <w:tcPr>
            <w:tcW w:type="dxa" w:w="4873"/>
          </w:tcPr>
          <w:p>
            <w:r>
              <w:t>事务时长</w:t>
            </w:r>
          </w:p>
        </w:tc>
        <w:tc>
          <w:tcPr>
            <w:tcW w:type="dxa" w:w="4873"/>
          </w:tcPr>
          <w:p>
            <w:r>
              <w:t>单个事务从开始到提交不超过 60 秒【请 DS 确认可行】。Nexora-BI 在写入账号上设 statement_timeout = 120s、idle_in_transaction_session_timeout = 60s，超时事务会被回滚，DS 侧须重试</w:t>
            </w:r>
          </w:p>
        </w:tc>
      </w:tr>
      <w:tr>
        <w:tc>
          <w:tcPr>
            <w:tcW w:type="dxa" w:w="4873"/>
          </w:tcPr>
          <w:p>
            <w:r>
              <w:t>原样重写回报 0 行</w:t>
            </w:r>
          </w:p>
        </w:tc>
        <w:tc>
          <w:tcPr>
            <w:tcW w:type="dxa" w:w="4873"/>
          </w:tcPr>
          <w:p>
            <w:r>
              <w:t>中间库的触发器在 UPDATE 内容完全相同时不写新行版本、不更新 mirror_updated_at，此时 UPSERT 回报「0 行受影响」。这是有意的，DS 的同步程序不得据此判定失败或重试</w:t>
            </w:r>
          </w:p>
        </w:tc>
      </w:tr>
    </w:tbl>
    <w:p/>
    <w:p>
      <w:pPr>
        <w:pStyle w:val="Heading1"/>
      </w:pPr>
      <w:r>
        <w:t>5  心跳与同步日志（cad_meta）</w:t>
      </w:r>
    </w:p>
    <w:p>
      <w:r>
        <w:t>DS 每个同步周期结束时写一行 cad_meta.sync_heartbeat，且必须在该周期的全部数据事务提交之后、以单独的事务写入。Nexora-BI 以最新心跳的 started_at 作为读取上界：早于它的数据变更都已提交。心跳先于数据提交写入，会造成 BI 漏数而不报错。没有心跳表，Nexora-BI 也无法区分「这段时间没有警情」与「同步停了」。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>
              <w:rPr>
                <w:b/>
              </w:rPr>
              <w:t>列</w:t>
            </w:r>
          </w:p>
        </w:tc>
        <w:tc>
          <w:tcPr>
            <w:tcW w:type="dxa" w:w="1984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5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t>sync_id</w:t>
            </w:r>
          </w:p>
        </w:tc>
        <w:tc>
          <w:tcPr>
            <w:tcW w:type="dxa" w:w="1984"/>
          </w:tcPr>
          <w:p>
            <w:r>
              <w:t>bigint 主键</w:t>
            </w:r>
          </w:p>
        </w:tc>
        <w:tc>
          <w:tcPr>
            <w:tcW w:type="dxa" w:w="4535"/>
          </w:tcPr>
          <w:p>
            <w:r>
              <w:t>DS 侧自增</w:t>
            </w:r>
          </w:p>
        </w:tc>
      </w:tr>
      <w:tr>
        <w:tc>
          <w:tcPr>
            <w:tcW w:type="dxa" w:w="2551"/>
          </w:tcPr>
          <w:p>
            <w:r>
              <w:t>started_at / finished_at</w:t>
            </w:r>
          </w:p>
        </w:tc>
        <w:tc>
          <w:tcPr>
            <w:tcW w:type="dxa" w:w="1984"/>
          </w:tcPr>
          <w:p>
            <w:r>
              <w:t>timestamp</w:t>
            </w:r>
          </w:p>
        </w:tc>
        <w:tc>
          <w:tcPr>
            <w:tcW w:type="dxa" w:w="4535"/>
          </w:tcPr>
          <w:p>
            <w:r>
              <w:t>本周期起止（本地时间）</w:t>
            </w:r>
          </w:p>
        </w:tc>
      </w:tr>
      <w:tr>
        <w:tc>
          <w:tcPr>
            <w:tcW w:type="dxa" w:w="2551"/>
          </w:tcPr>
          <w:p>
            <w:r>
              <w:t>source_watermark</w:t>
            </w:r>
          </w:p>
        </w:tc>
        <w:tc>
          <w:tcPr>
            <w:tcW w:type="dxa" w:w="1984"/>
          </w:tcPr>
          <w:p>
            <w:r>
              <w:t>timestamp</w:t>
            </w:r>
          </w:p>
        </w:tc>
        <w:tc>
          <w:tcPr>
            <w:tcW w:type="dxa" w:w="4535"/>
          </w:tcPr>
          <w:p>
            <w:r>
              <w:t>本周期从 CAD 取到的最大 sjc 或等价水位</w:t>
            </w:r>
          </w:p>
        </w:tc>
      </w:tr>
      <w:tr>
        <w:tc>
          <w:tcPr>
            <w:tcW w:type="dxa" w:w="2551"/>
          </w:tcPr>
          <w:p>
            <w:r>
              <w:t>table_counts</w:t>
            </w:r>
          </w:p>
        </w:tc>
        <w:tc>
          <w:tcPr>
            <w:tcW w:type="dxa" w:w="1984"/>
          </w:tcPr>
          <w:p>
            <w:r>
              <w:t>jsonb</w:t>
            </w:r>
          </w:p>
        </w:tc>
        <w:tc>
          <w:tcPr>
            <w:tcW w:type="dxa" w:w="4535"/>
          </w:tcPr>
          <w:p>
            <w:r>
              <w:t>本周期各表写入行数，如 {"t_ContactEvent": 120, …}</w:t>
            </w:r>
          </w:p>
        </w:tc>
      </w:tr>
      <w:tr>
        <w:tc>
          <w:tcPr>
            <w:tcW w:type="dxa" w:w="255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text</w:t>
            </w:r>
          </w:p>
        </w:tc>
        <w:tc>
          <w:tcPr>
            <w:tcW w:type="dxa" w:w="4535"/>
          </w:tcPr>
          <w:p>
            <w:r>
              <w:t>ok / partial / failed</w:t>
            </w:r>
          </w:p>
        </w:tc>
      </w:tr>
      <w:tr>
        <w:tc>
          <w:tcPr>
            <w:tcW w:type="dxa" w:w="2551"/>
          </w:tcPr>
          <w:p>
            <w:r>
              <w:t>message</w:t>
            </w:r>
          </w:p>
        </w:tc>
        <w:tc>
          <w:tcPr>
            <w:tcW w:type="dxa" w:w="1984"/>
          </w:tcPr>
          <w:p>
            <w:r>
              <w:t>text</w:t>
            </w:r>
          </w:p>
        </w:tc>
        <w:tc>
          <w:tcPr>
            <w:tcW w:type="dxa" w:w="4535"/>
          </w:tcPr>
          <w:p>
            <w:r>
              <w:t>失败原因，可空</w:t>
            </w:r>
          </w:p>
        </w:tc>
      </w:tr>
    </w:tbl>
    <w:p/>
    <w:p>
      <w:r>
        <w:t>此外，DS 每日一次写 cad_meta.source_daily_count：CAD 源端当日各核心表（t_ContactEvent、t_CommonEvent、t_AgencyEvent、t_CallNotify、t_UnitOperation）按业务日的行数。Nexora-BI 以此与中间库对账；这是证明「中间库与 CAD 一致」的唯一依据。</w:t>
      </w:r>
    </w:p>
    <w:p>
      <w:pPr>
        <w:pStyle w:val="Heading1"/>
      </w:pPr>
      <w:r>
        <w:t>6  运维责任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DS</w:t>
            </w:r>
          </w:p>
        </w:tc>
        <w:tc>
          <w:tcPr>
            <w:tcW w:type="dxa" w:w="3402"/>
          </w:tcPr>
          <w:p>
            <w:r>
              <w:rPr>
                <w:b/>
              </w:rPr>
              <w:t>Nexora-BI</w:t>
            </w:r>
          </w:p>
        </w:tc>
      </w:tr>
      <w:tr>
        <w:tc>
          <w:tcPr>
            <w:tcW w:type="dxa" w:w="3402"/>
          </w:tcPr>
          <w:p>
            <w:r>
              <w:t>中间库运行、备份、高可用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3402"/>
          </w:tcPr>
          <w:p>
            <w:r>
              <w:t>负责</w:t>
            </w:r>
          </w:p>
        </w:tc>
      </w:tr>
      <w:tr>
        <w:tc>
          <w:tcPr>
            <w:tcW w:type="dxa" w:w="3402"/>
          </w:tcPr>
          <w:p>
            <w:r>
              <w:t>中间库数据与 CAD 一致</w:t>
            </w:r>
          </w:p>
        </w:tc>
        <w:tc>
          <w:tcPr>
            <w:tcW w:type="dxa" w:w="2268"/>
          </w:tcPr>
          <w:p>
            <w:r>
              <w:t>负责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>
              <w:t>同步程序运行与监控</w:t>
            </w:r>
          </w:p>
        </w:tc>
        <w:tc>
          <w:tcPr>
            <w:tcW w:type="dxa" w:w="2268"/>
          </w:tcPr>
          <w:p>
            <w:r>
              <w:t>负责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>
              <w:t>写入账号凭据生成与轮换</w:t>
            </w:r>
          </w:p>
        </w:tc>
        <w:tc>
          <w:tcPr>
            <w:tcW w:type="dxa" w:w="2268"/>
          </w:tcPr>
          <w:p>
            <w:r>
              <w:t>配合更换</w:t>
            </w:r>
          </w:p>
        </w:tc>
        <w:tc>
          <w:tcPr>
            <w:tcW w:type="dxa" w:w="3402"/>
          </w:tcPr>
          <w:p>
            <w:r>
              <w:t>负责</w:t>
            </w:r>
          </w:p>
        </w:tc>
      </w:tr>
      <w:tr>
        <w:tc>
          <w:tcPr>
            <w:tcW w:type="dxa" w:w="3402"/>
          </w:tcPr>
          <w:p>
            <w:r>
              <w:t>网络通道申请（CAD 区 → BI 数据库区）</w:t>
            </w:r>
          </w:p>
        </w:tc>
        <w:tc>
          <w:tcPr>
            <w:tcW w:type="dxa" w:w="2268"/>
          </w:tcPr>
          <w:p>
            <w:r>
              <w:t>提供来源地址</w:t>
            </w:r>
          </w:p>
        </w:tc>
        <w:tc>
          <w:tcPr>
            <w:tcW w:type="dxa" w:w="3402"/>
          </w:tcPr>
          <w:p>
            <w:r>
              <w:t>提交申请</w:t>
            </w:r>
          </w:p>
        </w:tc>
      </w:tr>
      <w:tr>
        <w:tc>
          <w:tcPr>
            <w:tcW w:type="dxa" w:w="3402"/>
          </w:tcPr>
          <w:p>
            <w:r>
              <w:t>结构变更通知</w:t>
            </w:r>
          </w:p>
        </w:tc>
        <w:tc>
          <w:tcPr>
            <w:tcW w:type="dxa" w:w="2268"/>
          </w:tcPr>
          <w:p>
            <w:r>
              <w:t>负责</w:t>
            </w:r>
          </w:p>
        </w:tc>
        <w:tc>
          <w:tcPr>
            <w:tcW w:type="dxa" w:w="3402"/>
          </w:tcPr>
          <w:p>
            <w:r>
              <w:t>执行 DDL</w:t>
            </w:r>
          </w:p>
        </w:tc>
      </w:tr>
      <w:tr>
        <w:tc>
          <w:tcPr>
            <w:tcW w:type="dxa" w:w="3402"/>
          </w:tcPr>
          <w:p>
            <w:r>
              <w:t>同步中断告警</w:t>
            </w:r>
          </w:p>
        </w:tc>
        <w:tc>
          <w:tcPr>
            <w:tcW w:type="dxa" w:w="2268"/>
          </w:tcPr>
          <w:p>
            <w:r>
              <w:t>自身监控</w:t>
            </w:r>
          </w:p>
        </w:tc>
        <w:tc>
          <w:tcPr>
            <w:tcW w:type="dxa" w:w="3402"/>
          </w:tcPr>
          <w:p>
            <w:r>
              <w:t>以心跳表监控，超过阈值告警并通知 DS</w:t>
            </w:r>
          </w:p>
        </w:tc>
      </w:tr>
    </w:tbl>
    <w:p/>
    <w:p>
      <w:pPr>
        <w:pStyle w:val="Heading1"/>
      </w:pPr>
      <w:r>
        <w:t>7  请 DS 答复的事项汇总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850"/>
          </w:tcPr>
          <w:p>
            <w:r>
              <w:rPr>
                <w:b/>
              </w:rPr>
              <w:t>#</w:t>
            </w:r>
          </w:p>
        </w:tc>
        <w:tc>
          <w:tcPr>
            <w:tcW w:type="dxa" w:w="8220"/>
          </w:tcPr>
          <w:p>
            <w:r>
              <w:rPr>
                <w:b/>
              </w:rPr>
              <w:t>事项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220"/>
          </w:tcPr>
          <w:p>
            <w:r>
              <w:t>核对 Nexora-BI 交付的 74 张表 + 案由两表 + t_bd_dw 的 DDL：主键、列齐全、类型（第 3.1 节）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8220"/>
          </w:tcPr>
          <w:p>
            <w:r>
              <w:t>每张表的主键列；没有自然主键的表请指出（第 4 节）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8220"/>
          </w:tcPr>
          <w:p>
            <w:r>
              <w:t>同步频率与延迟上限（第 4 节）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8220"/>
          </w:tcPr>
          <w:p>
            <w:r>
              <w:t>首次全量的历史范围与执行方式（第 4 节）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8220"/>
          </w:tcPr>
          <w:p>
            <w:r>
              <w:t>集群切换期间的重试与缓冲策略（第 4 节）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8220"/>
          </w:tcPr>
          <w:p>
            <w:r>
              <w:t>同步程序的来源 IP 段（第 2 节）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8220"/>
          </w:tcPr>
          <w:p>
            <w:r>
              <w:t>是否同时向开发测试环境推送（第 2 节）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8220"/>
          </w:tcPr>
          <w:p>
            <w:r>
              <w:t>对本规范其余条款的意见</w:t>
            </w:r>
          </w:p>
        </w:tc>
      </w:tr>
      <w:tr>
        <w:tc>
          <w:tcPr>
            <w:tcW w:type="dxa" w:w="4873"/>
          </w:tcPr>
          <w:p>
            <w:r>
              <w:t>9</w:t>
            </w:r>
          </w:p>
        </w:tc>
        <w:tc>
          <w:tcPr>
            <w:tcW w:type="dxa" w:w="4873"/>
          </w:tcPr>
          <w:p>
            <w:r>
              <w:t>单事务 60 秒上限是否可行；周期串行、心跳后写是否可行（第 4、5 节）</w:t>
            </w:r>
          </w:p>
        </w:tc>
      </w:tr>
      <w:tr>
        <w:tc>
          <w:tcPr>
            <w:tcW w:type="dxa" w:w="4873"/>
          </w:tcPr>
          <w:p>
            <w:r>
              <w:t>10</w:t>
            </w:r>
          </w:p>
        </w:tc>
        <w:tc>
          <w:tcPr>
            <w:tcW w:type="dxa" w:w="4873"/>
          </w:tcPr>
          <w:p>
            <w:r>
              <w:t>CAD 原库完整目录（information_schema.columns 导出）（第 3.6 节）</w:t>
            </w:r>
          </w:p>
        </w:tc>
      </w:tr>
      <w:tr>
        <w:tc>
          <w:tcPr>
            <w:tcW w:type="dxa" w:w="4873"/>
          </w:tcPr>
          <w:p>
            <w:r>
              <w:t>11</w:t>
            </w:r>
          </w:p>
        </w:tc>
        <w:tc>
          <w:tcPr>
            <w:tcW w:type="dxa" w:w="4873"/>
          </w:tcPr>
          <w:p>
            <w:r>
              <w:t>同步程序是否经 CSV / ORM 中转；大小写、尾随空格、空串与 NULL 是否原样保留（第 3.6 节）</w:t>
            </w:r>
          </w:p>
        </w:tc>
      </w:tr>
      <w:tr>
        <w:tc>
          <w:tcPr>
            <w:tcW w:type="dxa" w:w="4873"/>
          </w:tcPr>
          <w:p>
            <w:r>
              <w:t>12</w:t>
            </w:r>
          </w:p>
        </w:tc>
        <w:tc>
          <w:tcPr>
            <w:tcW w:type="dxa" w:w="4873"/>
          </w:tcPr>
          <w:p>
            <w:r>
              <w:t>两处重名列的正确译名（第 3.1a 节）</w:t>
            </w:r>
          </w:p>
        </w:tc>
      </w:tr>
    </w:tbl>
    <w:p/>
    <w:p>
      <w:r>
        <w:t>会签：DS ________________    Nexora-BI ________________    日期 ____________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