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34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50 项（其中 IR-32 已关闭、IR-13 部分已答复）。紧急度为“高”的项目，其答复会改变设计选择、交付范围或承诺内容，应在设计冻结前取得。IR-47 至 IR-50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