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pPr>
    </w:p>
    <w:p>
      <w:pPr>
        <w:spacing w:before="0" w:after="120"/>
        <w:jc w:val="center"/>
      </w:pPr>
      <w:r>
        <w:rPr>
          <w:rFonts w:ascii="微软雅黑" w:hAnsi="微软雅黑" w:eastAsia="微软雅黑"/>
          <w:b/>
          <w:color w:val="1D4ED8"/>
          <w:sz w:val="36"/>
        </w:rPr>
        <w:t>OSS911 麦加 911 运营中心</w:t>
      </w:r>
    </w:p>
    <w:p>
      <w:pPr>
        <w:spacing w:before="0" w:after="360"/>
        <w:jc w:val="center"/>
      </w:pPr>
      <w:r>
        <w:rPr>
          <w:rFonts w:ascii="微软雅黑" w:hAnsi="微软雅黑" w:eastAsia="微软雅黑"/>
          <w:b/>
          <w:color w:val="1D4ED8"/>
          <w:sz w:val="36"/>
        </w:rPr>
        <w:t>商业智能与数据仓库子系统</w:t>
      </w:r>
    </w:p>
    <w:p>
      <w:pPr>
        <w:spacing w:before="0" w:after="160"/>
        <w:jc w:val="center"/>
      </w:pPr>
      <w:r>
        <w:rPr>
          <w:rFonts w:ascii="微软雅黑" w:hAnsi="微软雅黑" w:eastAsia="微软雅黑"/>
          <w:b/>
          <w:color w:val="111827"/>
          <w:sz w:val="48"/>
        </w:rPr>
        <w:t>假设与信息需求登记册</w:t>
      </w:r>
    </w:p>
    <w:p>
      <w:pPr>
        <w:spacing w:before="0" w:after="1000"/>
        <w:jc w:val="center"/>
      </w:pPr>
      <w:r>
        <w:rPr>
          <w:rFonts w:ascii="微软雅黑" w:hAnsi="微软雅黑" w:eastAsia="微软雅黑"/>
          <w:b w:val="0"/>
          <w:color w:val="4B5563"/>
          <w:sz w:val="23"/>
        </w:rPr>
        <w:t>Assumptions and Information Requirements Register   ( HD-03 )</w:t>
      </w:r>
    </w:p>
    <w:p>
      <w:pPr>
        <w:spacing w:before="0" w:after="120"/>
        <w:jc w:val="center"/>
      </w:pPr>
      <w:r>
        <w:rPr>
          <w:rFonts w:ascii="微软雅黑" w:hAnsi="微软雅黑" w:eastAsia="微软雅黑"/>
          <w:b/>
          <w:color w:val="111827"/>
          <w:sz w:val="24"/>
        </w:rPr>
        <w:t>版本  v0.1</w:t>
      </w:r>
    </w:p>
    <w:p>
      <w:pPr>
        <w:spacing w:before="0" w:after="2000"/>
        <w:jc w:val="center"/>
      </w:pPr>
      <w:r>
        <w:rPr>
          <w:rFonts w:ascii="微软雅黑" w:hAnsi="微软雅黑" w:eastAsia="微软雅黑"/>
          <w:b w:val="0"/>
          <w:color w:val="4B5563"/>
          <w:sz w:val="22"/>
        </w:rPr>
        <w:t>2026 年 9 月</w:t>
      </w:r>
    </w:p>
    <w:p>
      <w:pPr>
        <w:spacing w:before="0" w:after="60"/>
        <w:jc w:val="center"/>
      </w:pPr>
      <w:r>
        <w:rPr>
          <w:rFonts w:ascii="微软雅黑" w:hAnsi="微软雅黑" w:eastAsia="微软雅黑"/>
          <w:b w:val="0"/>
          <w:color w:val="4B5563"/>
          <w:sz w:val="20"/>
        </w:rPr>
        <w:t>本文件记录设计过程中所作的全部假设、这些假设的依据、以及若被推翻的后果；</w:t>
      </w:r>
    </w:p>
    <w:p>
      <w:pPr>
        <w:spacing w:before="0" w:after="80"/>
        <w:jc w:val="center"/>
      </w:pPr>
      <w:r>
        <w:rPr>
          <w:rFonts w:ascii="微软雅黑" w:hAnsi="微软雅黑" w:eastAsia="微软雅黑"/>
          <w:b w:val="0"/>
          <w:color w:val="4B5563"/>
          <w:sz w:val="20"/>
        </w:rPr>
        <w:t>并列出尚需向外部收集的信息、向谁收集、用途，以及各自阻塞了什么。</w:t>
      </w:r>
    </w:p>
    <w:p>
      <w:r>
        <w:br w:type="page"/>
      </w:r>
    </w:p>
    <w:p>
      <w:pPr>
        <w:pStyle w:val="Heading1"/>
      </w:pPr>
      <w:r>
        <w:t>1  这份文件为什么单独存在</w:t>
      </w:r>
    </w:p>
    <w:p>
      <w:pPr>
        <w:spacing w:before="0" w:after="80"/>
      </w:pPr>
      <w:r>
        <w:rPr>
          <w:rFonts w:ascii="微软雅黑" w:hAnsi="微软雅黑" w:eastAsia="微软雅黑"/>
          <w:b w:val="0"/>
          <w:sz w:val="21"/>
        </w:rPr>
        <w:t>投标阶段的设计不可能建立在完整信息之上。DS 的数据字典还没交付，ICP 的接口文档还没有，MOI 的数据分类政策尚待共同制定，基础设施的隔离能力尚未答复。在这种条件下推进设计，唯一负责的做法是把每一个"我们暂且认为如此"的判断显式记下来，连同它的依据、它支撑了哪些需求、以及如果它是错的会怎样。</w:t>
      </w:r>
    </w:p>
    <w:p>
      <w:pPr>
        <w:spacing w:before="0" w:after="80"/>
      </w:pPr>
      <w:r>
        <w:rPr>
          <w:rFonts w:ascii="微软雅黑" w:hAnsi="微软雅黑" w:eastAsia="微软雅黑"/>
          <w:b w:val="0"/>
          <w:sz w:val="21"/>
        </w:rPr>
        <w:t>这样做有三个具体用途。</w:t>
      </w:r>
    </w:p>
    <w:p>
      <w:pPr>
        <w:pStyle w:val="ListNumber"/>
        <w:spacing w:after="40" w:line="307" w:lineRule="auto"/>
      </w:pPr>
      <w:r>
        <w:rPr>
          <w:rFonts w:ascii="微软雅黑" w:hAnsi="微软雅黑" w:eastAsia="微软雅黑"/>
          <w:b w:val="0"/>
          <w:sz w:val="21"/>
        </w:rPr>
        <w:t>开发组接手时，先读这份文件，就知道哪些前提可以直接依赖、哪些要先去确认。不写下来的假设会以两种方式伤人：一是开发按另一种理解实现了，二是出问题时无人记得当初为什么这样定。</w:t>
      </w:r>
    </w:p>
    <w:p>
      <w:pPr>
        <w:pStyle w:val="ListNumber"/>
        <w:spacing w:after="40" w:line="307" w:lineRule="auto"/>
      </w:pPr>
      <w:r>
        <w:rPr>
          <w:rFonts w:ascii="微软雅黑" w:hAnsi="微软雅黑" w:eastAsia="微软雅黑"/>
          <w:b w:val="0"/>
          <w:sz w:val="21"/>
        </w:rPr>
        <w:t>项目管理上，它是一份带责任方的待办清单。每一条信息需求都有明确的对象与用途，可以直接转成对外的询问件或联合体内的议题。</w:t>
      </w:r>
    </w:p>
    <w:p>
      <w:pPr>
        <w:pStyle w:val="ListNumber"/>
        <w:spacing w:after="40" w:line="307" w:lineRule="auto"/>
      </w:pPr>
      <w:r>
        <w:rPr>
          <w:rFonts w:ascii="微软雅黑" w:hAnsi="微软雅黑" w:eastAsia="微软雅黑"/>
          <w:b w:val="0"/>
          <w:sz w:val="21"/>
        </w:rPr>
        <w:t>商务上，它标明了哪些承诺是有条件的。第 4 章原列出三处与 RFP 的实质差异，其中移动应用一项已在详细设计第一轮讨论中消解，其余两处仍需在投标或谈判阶段处置，不能留到实施期才发现。</w:t>
      </w:r>
    </w:p>
    <w:tbl>
      <w:tblPr>
        <w:tblW w:type="auto" w:w="0"/>
        <w:jc w:val="center"/>
        <w:tblLook w:firstColumn="1" w:firstRow="1" w:lastColumn="0" w:lastRow="0" w:noHBand="0" w:noVBand="1" w:val="04A0"/>
        <w:tblBorders>
          <w:top w:val="single" w:sz="4" w:space="0" w:color="B91C1C"/>
          <w:left w:val="single" w:sz="4" w:space="0" w:color="B91C1C"/>
          <w:bottom w:val="single" w:sz="4" w:space="0" w:color="B91C1C"/>
          <w:right w:val="single" w:sz="4" w:space="0" w:color="B91C1C"/>
          <w:insideH w:val="single" w:sz="4" w:space="0" w:color="B91C1C"/>
          <w:insideV w:val="single" w:sz="4" w:space="0" w:color="B91C1C"/>
        </w:tblBorders>
      </w:tblPr>
      <w:tblGrid>
        <w:gridCol w:w="9298"/>
      </w:tblGrid>
      <w:tr>
        <w:tc>
          <w:tcPr>
            <w:tcW w:type="dxa" w:w="9298"/>
            <w:shd w:val="clear" w:fill="FDEEEE"/>
          </w:tcPr>
          <w:p>
            <w:pPr>
              <w:spacing w:before="80" w:after="40"/>
            </w:pPr>
            <w:r/>
            <w:r>
              <w:rPr>
                <w:rFonts w:ascii="微软雅黑" w:hAnsi="微软雅黑" w:eastAsia="微软雅黑"/>
                <w:b/>
                <w:color w:val="B91C1C"/>
                <w:sz w:val="20"/>
              </w:rPr>
              <w:t>使用规则</w:t>
            </w:r>
          </w:p>
          <w:p>
            <w:pPr>
              <w:spacing w:after="100" w:line="312" w:lineRule="auto"/>
            </w:pPr>
            <w:r>
              <w:rPr>
                <w:rFonts w:ascii="微软雅黑" w:hAnsi="微软雅黑" w:eastAsia="微软雅黑"/>
                <w:b w:val="0"/>
                <w:sz w:val="19"/>
              </w:rPr>
              <w:t>一、本文件中的假设不是免责声明。RFP 第 1.2.1.11 条明确规定，写入投标文件的任何假设、条件或排除项将被忽略，并对合规性评估产生负面影响。因此本文件是联合体内部与开发交接用的文件，其内容不得直接搬入提交给 MOI 的投标文件。需要 MOI 确认的事项，通过 Q&amp;A 澄清函提出，让答复成为双方共同的事实。</w:t>
              <w:br/>
              <w:t>二、假设的状态一经变化（被证实或被推翻），须更新本文件并按 HD-01 的变更流程评估对需求的影响。被推翻的假设不删除，改为标注"已推翻"并记录实际情况，以便回溯当初的判断依据。</w:t>
            </w:r>
          </w:p>
        </w:tc>
      </w:tr>
    </w:tbl>
    <w:p>
      <w:pPr>
        <w:spacing w:before="0" w:after="160"/>
      </w:pPr>
    </w:p>
    <w:p>
      <w:r>
        <w:br w:type="page"/>
      </w:r>
    </w:p>
    <w:p>
      <w:pPr>
        <w:pStyle w:val="Heading1"/>
      </w:pPr>
      <w:r>
        <w:t>2  假设登记册</w:t>
      </w:r>
    </w:p>
    <w:p>
      <w:pPr>
        <w:spacing w:before="0" w:after="80"/>
      </w:pPr>
      <w:r>
        <w:rPr>
          <w:rFonts w:ascii="微软雅黑" w:hAnsi="微软雅黑" w:eastAsia="微软雅黑"/>
          <w:b w:val="0"/>
          <w:sz w:val="21"/>
        </w:rPr>
        <w:t>共 35 条。"状态"为"已确认"的条目其依据来自客户或联合体的明确答复，可直接依赖；其余条目在被证实前应视为待验证。</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2268"/>
        <w:gridCol w:w="1134"/>
        <w:gridCol w:w="5329"/>
      </w:tblGrid>
      <w:tr>
        <w:trPr>
          <w:tblHeader/>
        </w:trPr>
        <w:tc>
          <w:tcPr>
            <w:tcW w:type="dxa" w:w="2268"/>
            <w:shd w:val="clear" w:fill="EEF2FD"/>
          </w:tcPr>
          <w:p>
            <w:pPr>
              <w:spacing w:after="40" w:before="40"/>
            </w:pPr>
            <w:r/>
            <w:r>
              <w:rPr>
                <w:rFonts w:ascii="微软雅黑" w:hAnsi="微软雅黑" w:eastAsia="微软雅黑"/>
                <w:b/>
                <w:color w:val="1E3A8A"/>
                <w:sz w:val="18"/>
              </w:rPr>
              <w:t>状态</w:t>
            </w:r>
          </w:p>
        </w:tc>
        <w:tc>
          <w:tcPr>
            <w:tcW w:type="dxa" w:w="1134"/>
            <w:shd w:val="clear" w:fill="EEF2FD"/>
          </w:tcPr>
          <w:p>
            <w:pPr>
              <w:spacing w:after="40" w:before="40"/>
            </w:pPr>
            <w:r/>
            <w:r>
              <w:rPr>
                <w:rFonts w:ascii="微软雅黑" w:hAnsi="微软雅黑" w:eastAsia="微软雅黑"/>
                <w:b/>
                <w:color w:val="1E3A8A"/>
                <w:sz w:val="18"/>
              </w:rPr>
              <w:t>条数</w:t>
            </w:r>
          </w:p>
        </w:tc>
        <w:tc>
          <w:tcPr>
            <w:tcW w:type="dxa" w:w="5329"/>
            <w:shd w:val="clear" w:fill="EEF2FD"/>
          </w:tcPr>
          <w:p>
            <w:pPr>
              <w:spacing w:after="40" w:before="40"/>
            </w:pPr>
            <w:r/>
            <w:r>
              <w:rPr>
                <w:rFonts w:ascii="微软雅黑" w:hAnsi="微软雅黑" w:eastAsia="微软雅黑"/>
                <w:b/>
                <w:color w:val="1E3A8A"/>
                <w:sz w:val="18"/>
              </w:rPr>
              <w:t>说明</w:t>
            </w:r>
          </w:p>
        </w:tc>
      </w:tr>
      <w:tr>
        <w:tc>
          <w:tcPr>
            <w:tcW w:type="dxa" w:w="2268"/>
          </w:tcPr>
          <w:p>
            <w:pPr>
              <w:spacing w:after="40" w:before="40" w:line="283" w:lineRule="auto"/>
            </w:pPr>
            <w:r/>
            <w:r>
              <w:rPr>
                <w:rFonts w:ascii="微软雅黑" w:hAnsi="微软雅黑" w:eastAsia="微软雅黑"/>
                <w:b w:val="0"/>
                <w:sz w:val="18"/>
              </w:rPr>
              <w:t>已确认 / 已计算</w:t>
            </w:r>
          </w:p>
        </w:tc>
        <w:tc>
          <w:tcPr>
            <w:tcW w:type="dxa" w:w="1134"/>
          </w:tcPr>
          <w:p>
            <w:pPr>
              <w:spacing w:after="40" w:before="40" w:line="283" w:lineRule="auto"/>
            </w:pPr>
            <w:r/>
            <w:r>
              <w:rPr>
                <w:rFonts w:ascii="微软雅黑" w:hAnsi="微软雅黑" w:eastAsia="微软雅黑"/>
                <w:b w:val="0"/>
                <w:sz w:val="18"/>
              </w:rPr>
              <w:t>9</w:t>
            </w:r>
          </w:p>
        </w:tc>
        <w:tc>
          <w:tcPr>
            <w:tcW w:type="dxa" w:w="5329"/>
          </w:tcPr>
          <w:p>
            <w:pPr>
              <w:spacing w:after="40" w:before="40" w:line="283" w:lineRule="auto"/>
            </w:pPr>
            <w:r/>
            <w:r>
              <w:rPr>
                <w:rFonts w:ascii="微软雅黑" w:hAnsi="微软雅黑" w:eastAsia="微软雅黑"/>
                <w:b w:val="0"/>
                <w:sz w:val="18"/>
              </w:rPr>
              <w:t>依据明确，可直接依赖</w:t>
            </w:r>
          </w:p>
        </w:tc>
      </w:tr>
      <w:tr>
        <w:tc>
          <w:tcPr>
            <w:tcW w:type="dxa" w:w="2268"/>
          </w:tcPr>
          <w:p>
            <w:pPr>
              <w:spacing w:after="40" w:before="40" w:line="283" w:lineRule="auto"/>
            </w:pPr>
            <w:r/>
            <w:r>
              <w:rPr>
                <w:rFonts w:ascii="微软雅黑" w:hAnsi="微软雅黑" w:eastAsia="微软雅黑"/>
                <w:b w:val="0"/>
                <w:sz w:val="18"/>
              </w:rPr>
              <w:t>待确认 / 待验证 / 待冻结</w:t>
            </w:r>
          </w:p>
        </w:tc>
        <w:tc>
          <w:tcPr>
            <w:tcW w:type="dxa" w:w="1134"/>
          </w:tcPr>
          <w:p>
            <w:pPr>
              <w:spacing w:after="40" w:before="40" w:line="283" w:lineRule="auto"/>
            </w:pPr>
            <w:r>
              <w:t>12</w:t>
            </w:r>
          </w:p>
        </w:tc>
        <w:tc>
          <w:tcPr>
            <w:tcW w:type="dxa" w:w="5329"/>
          </w:tcPr>
          <w:p>
            <w:pPr>
              <w:spacing w:after="40" w:before="40" w:line="283" w:lineRule="auto"/>
            </w:pPr>
            <w:r/>
            <w:r>
              <w:rPr>
                <w:rFonts w:ascii="微软雅黑" w:hAnsi="微软雅黑" w:eastAsia="微软雅黑"/>
                <w:b w:val="0"/>
                <w:sz w:val="18"/>
              </w:rPr>
              <w:t>有合理依据但未取得确认，开发前应复核</w:t>
            </w:r>
          </w:p>
        </w:tc>
      </w:tr>
      <w:tr>
        <w:tc>
          <w:tcPr>
            <w:tcW w:type="dxa" w:w="2268"/>
          </w:tcPr>
          <w:p>
            <w:pPr>
              <w:spacing w:after="40" w:before="40" w:line="283" w:lineRule="auto"/>
            </w:pPr>
            <w:r/>
            <w:r>
              <w:rPr>
                <w:rFonts w:ascii="微软雅黑" w:hAnsi="微软雅黑" w:eastAsia="微软雅黑"/>
                <w:b w:val="0"/>
                <w:sz w:val="18"/>
              </w:rPr>
              <w:t>未确认 / 未取得</w:t>
            </w:r>
          </w:p>
        </w:tc>
        <w:tc>
          <w:tcPr>
            <w:tcW w:type="dxa" w:w="1134"/>
          </w:tcPr>
          <w:p>
            <w:pPr>
              <w:spacing w:after="40" w:before="40" w:line="283" w:lineRule="auto"/>
            </w:pPr>
            <w:r/>
            <w:r>
              <w:rPr>
                <w:rFonts w:ascii="微软雅黑" w:hAnsi="微软雅黑" w:eastAsia="微软雅黑"/>
                <w:b w:val="0"/>
                <w:sz w:val="18"/>
              </w:rPr>
              <w:t>7</w:t>
            </w:r>
          </w:p>
        </w:tc>
        <w:tc>
          <w:tcPr>
            <w:tcW w:type="dxa" w:w="5329"/>
          </w:tcPr>
          <w:p>
            <w:pPr>
              <w:spacing w:after="40" w:before="40" w:line="283" w:lineRule="auto"/>
            </w:pPr>
            <w:r/>
            <w:r>
              <w:rPr>
                <w:rFonts w:ascii="微软雅黑" w:hAnsi="微软雅黑" w:eastAsia="微软雅黑"/>
                <w:b w:val="0"/>
                <w:sz w:val="18"/>
              </w:rPr>
              <w:t>缺乏依据，须优先推动</w:t>
            </w:r>
          </w:p>
        </w:tc>
      </w:tr>
      <w:tr>
        <w:tc>
          <w:tcPr>
            <w:tcW w:type="dxa" w:w="2268"/>
          </w:tcPr>
          <w:p>
            <w:pPr>
              <w:spacing w:after="40" w:before="40" w:line="283" w:lineRule="auto"/>
            </w:pPr>
            <w:r/>
            <w:r>
              <w:rPr>
                <w:rFonts w:ascii="微软雅黑" w:hAnsi="微软雅黑" w:eastAsia="微软雅黑"/>
                <w:b w:val="0"/>
                <w:sz w:val="18"/>
              </w:rPr>
              <w:t>已推翻</w:t>
            </w:r>
          </w:p>
        </w:tc>
        <w:tc>
          <w:tcPr>
            <w:tcW w:type="dxa" w:w="1134"/>
          </w:tcPr>
          <w:p>
            <w:pPr>
              <w:spacing w:after="40" w:before="40" w:line="283" w:lineRule="auto"/>
            </w:pPr>
            <w:r/>
            <w:r>
              <w:rPr>
                <w:rFonts w:ascii="微软雅黑" w:hAnsi="微软雅黑" w:eastAsia="微软雅黑"/>
                <w:b w:val="0"/>
                <w:sz w:val="18"/>
              </w:rPr>
              <w:t>1</w:t>
            </w:r>
          </w:p>
        </w:tc>
        <w:tc>
          <w:tcPr>
            <w:tcW w:type="dxa" w:w="5329"/>
          </w:tcPr>
          <w:p>
            <w:pPr>
              <w:spacing w:after="40" w:before="40" w:line="283" w:lineRule="auto"/>
            </w:pPr>
            <w:r/>
            <w:r>
              <w:rPr>
                <w:rFonts w:ascii="微软雅黑" w:hAnsi="微软雅黑" w:eastAsia="微软雅黑"/>
                <w:b w:val="0"/>
                <w:sz w:val="18"/>
              </w:rPr>
              <w:t>依据已失效，保留记录并注明实际情况，不删除</w:t>
            </w:r>
          </w:p>
        </w:tc>
      </w:tr>
    </w:tbl>
    <w:p>
      <w:pPr>
        <w:spacing w:before="0" w:after="140"/>
      </w:pP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134"/>
        <w:gridCol w:w="3515"/>
        <w:gridCol w:w="2494"/>
        <w:gridCol w:w="1701"/>
      </w:tblGrid>
      <w:tr>
        <w:trPr>
          <w:tblHeader/>
        </w:trPr>
        <w:tc>
          <w:tcPr>
            <w:tcW w:type="dxa" w:w="1134"/>
            <w:shd w:val="clear" w:fill="EEF2FD"/>
          </w:tcPr>
          <w:p>
            <w:pPr>
              <w:spacing w:after="40" w:before="40"/>
            </w:pPr>
            <w:r/>
            <w:r>
              <w:rPr>
                <w:rFonts w:ascii="微软雅黑" w:hAnsi="微软雅黑" w:eastAsia="微软雅黑"/>
                <w:b/>
                <w:color w:val="1E3A8A"/>
                <w:sz w:val="18"/>
              </w:rPr>
              <w:t>编号 / 状态</w:t>
            </w:r>
          </w:p>
        </w:tc>
        <w:tc>
          <w:tcPr>
            <w:tcW w:type="dxa" w:w="3515"/>
            <w:shd w:val="clear" w:fill="EEF2FD"/>
          </w:tcPr>
          <w:p>
            <w:pPr>
              <w:spacing w:after="40" w:before="40"/>
            </w:pPr>
            <w:r/>
            <w:r>
              <w:rPr>
                <w:rFonts w:ascii="微软雅黑" w:hAnsi="微软雅黑" w:eastAsia="微软雅黑"/>
                <w:b/>
                <w:color w:val="1E3A8A"/>
                <w:sz w:val="18"/>
              </w:rPr>
              <w:t>假设内容与依据</w:t>
            </w:r>
          </w:p>
        </w:tc>
        <w:tc>
          <w:tcPr>
            <w:tcW w:type="dxa" w:w="2494"/>
            <w:shd w:val="clear" w:fill="EEF2FD"/>
          </w:tcPr>
          <w:p>
            <w:pPr>
              <w:spacing w:after="40" w:before="40"/>
            </w:pPr>
            <w:r/>
            <w:r>
              <w:rPr>
                <w:rFonts w:ascii="微软雅黑" w:hAnsi="微软雅黑" w:eastAsia="微软雅黑"/>
                <w:b/>
                <w:color w:val="1E3A8A"/>
                <w:sz w:val="18"/>
              </w:rPr>
              <w:t>若被推翻的影响</w:t>
            </w:r>
          </w:p>
        </w:tc>
        <w:tc>
          <w:tcPr>
            <w:tcW w:type="dxa" w:w="1701"/>
            <w:shd w:val="clear" w:fill="EEF2FD"/>
          </w:tcPr>
          <w:p>
            <w:pPr>
              <w:spacing w:after="40" w:before="40"/>
            </w:pPr>
            <w:r/>
            <w:r>
              <w:rPr>
                <w:rFonts w:ascii="微软雅黑" w:hAnsi="微软雅黑" w:eastAsia="微软雅黑"/>
                <w:b/>
                <w:color w:val="1E3A8A"/>
                <w:sz w:val="18"/>
              </w:rPr>
              <w:t>确认方 / 关联需求</w:t>
            </w:r>
          </w:p>
        </w:tc>
      </w:tr>
      <w:tr>
        <w:tc>
          <w:tcPr>
            <w:tcW w:type="dxa" w:w="1134"/>
          </w:tcPr>
          <w:p>
            <w:pPr>
              <w:spacing w:after="40" w:before="40" w:line="283" w:lineRule="auto"/>
            </w:pPr>
            <w:r/>
            <w:r>
              <w:rPr>
                <w:rFonts w:ascii="微软雅黑" w:hAnsi="微软雅黑" w:eastAsia="微软雅黑"/>
                <w:b w:val="0"/>
                <w:sz w:val="16"/>
              </w:rPr>
              <w:t>AS-01</w:t>
              <w:br/>
              <w:br/>
              <w:t>未取得书面认可</w:t>
            </w:r>
          </w:p>
        </w:tc>
        <w:tc>
          <w:tcPr>
            <w:tcW w:type="dxa" w:w="3515"/>
          </w:tcPr>
          <w:p>
            <w:pPr>
              <w:spacing w:after="40" w:before="40" w:line="283" w:lineRule="auto"/>
            </w:pPr>
            <w:r/>
            <w:r>
              <w:rPr>
                <w:rFonts w:ascii="微软雅黑" w:hAnsi="微软雅黑" w:eastAsia="微软雅黑"/>
                <w:b w:val="0"/>
                <w:sz w:val="16"/>
              </w:rPr>
              <w:t>以核心开源组件公开发布满五年满足 COTS 上市年限要求；COTS 产品形态以本方产品的商用版本呈现，不另行举证 OEM 产品历史。</w:t>
              <w:br/>
              <w:br/>
              <w:t>【依据】项目方针：本项目为定制开发、整体新开发，不作为闭源产品交付。</w:t>
            </w:r>
          </w:p>
        </w:tc>
        <w:tc>
          <w:tcPr>
            <w:tcW w:type="dxa" w:w="2494"/>
          </w:tcPr>
          <w:p>
            <w:pPr>
              <w:spacing w:after="40" w:before="40" w:line="283" w:lineRule="auto"/>
            </w:pPr>
            <w:r/>
            <w:r>
              <w:rPr>
                <w:rFonts w:ascii="微软雅黑" w:hAnsi="微软雅黑" w:eastAsia="微软雅黑"/>
                <w:b w:val="0"/>
                <w:sz w:val="16"/>
              </w:rPr>
              <w:t>RFP 1.6.1.27 与 1.6.1.28 可能被判不合规，影响的是投标资格而非技术实现。这是本册中商务后果最重的一条。</w:t>
            </w:r>
          </w:p>
        </w:tc>
        <w:tc>
          <w:tcPr>
            <w:tcW w:type="dxa" w:w="1701"/>
          </w:tcPr>
          <w:p>
            <w:pPr>
              <w:spacing w:after="40" w:before="40" w:line="283" w:lineRule="auto"/>
            </w:pPr>
            <w:r/>
            <w:r>
              <w:rPr>
                <w:rFonts w:ascii="微软雅黑" w:hAnsi="微软雅黑" w:eastAsia="微软雅黑"/>
                <w:b w:val="0"/>
                <w:sz w:val="16"/>
              </w:rPr>
              <w:t>MOI（经 Q&amp;A 取得书面认可）</w:t>
              <w:br/>
              <w:br/>
              <w:t>REQ-LIC-02</w:t>
            </w:r>
          </w:p>
        </w:tc>
      </w:tr>
      <w:tr>
        <w:tc>
          <w:tcPr>
            <w:tcW w:type="dxa" w:w="1134"/>
          </w:tcPr>
          <w:p>
            <w:pPr>
              <w:spacing w:after="40" w:before="40" w:line="283" w:lineRule="auto"/>
            </w:pPr>
            <w:r/>
            <w:r>
              <w:rPr>
                <w:rFonts w:ascii="微软雅黑" w:hAnsi="微软雅黑" w:eastAsia="微软雅黑"/>
                <w:b w:val="0"/>
                <w:sz w:val="16"/>
              </w:rPr>
              <w:t>AS-02</w:t>
              <w:br/>
              <w:br/>
              <w:t>待冻结</w:t>
            </w:r>
          </w:p>
        </w:tc>
        <w:tc>
          <w:tcPr>
            <w:tcW w:type="dxa" w:w="3515"/>
          </w:tcPr>
          <w:p>
            <w:pPr>
              <w:spacing w:after="40" w:before="40" w:line="283" w:lineRule="auto"/>
            </w:pPr>
            <w:r/>
            <w:r>
              <w:rPr>
                <w:rFonts w:ascii="微软雅黑" w:hAnsi="微软雅黑" w:eastAsia="微软雅黑"/>
                <w:b w:val="0"/>
                <w:sz w:val="16"/>
              </w:rPr>
              <w:t>持续数据源仅 DS CAD 展示库与 ICP；归档库为一次性迁入；其它系统（GIS、SRCA、NIC、CID/PSD Amn、Kullunaamn、Maidan）经 ESB 汇聚到 CAD 与 ICP，本方不直连。  【依据】客户口头答复与现场沟通。  【2026-09 补注】RFP 1.6.3.1 的资源数据（经 ESB 自国家数据中心取得的人员与车辆信息、经 Aliali 接口取得的报警人位置等）同样由 CAD 获取并落库，本方从展示库一并取得，不构成第四类数据源。见 DD-42 与 IR-41。</w:t>
              <w:br/>
              <w:br/>
              <w:t>【2026-09 更正】归档库为 SQL Server 而非 PostgreSQL，且读取 archive 副本库。持续数据源的结论不变，但接入方式新增第五类连接器 mssql_read，并引入开源 TDS 驱动链。见 CN-36 与 DD-52</w:t>
            </w:r>
          </w:p>
        </w:tc>
        <w:tc>
          <w:tcPr>
            <w:tcW w:type="dxa" w:w="2494"/>
          </w:tcPr>
          <w:p>
            <w:pPr>
              <w:spacing w:after="40" w:before="40" w:line="283" w:lineRule="auto"/>
            </w:pPr>
            <w:r/>
            <w:r>
              <w:rPr>
                <w:rFonts w:ascii="微软雅黑" w:hAnsi="微软雅黑" w:eastAsia="微软雅黑"/>
                <w:b w:val="0"/>
                <w:sz w:val="16"/>
              </w:rPr>
              <w:t>RFP 1.6.2.3 含"MOI 在设计阶段指定的任何其它关系型数据库"的开口表述。若设计阶段新增数据源，按每源增加接入与映射工作量。</w:t>
            </w:r>
          </w:p>
        </w:tc>
        <w:tc>
          <w:tcPr>
            <w:tcW w:type="dxa" w:w="1701"/>
          </w:tcPr>
          <w:p>
            <w:pPr>
              <w:spacing w:after="40" w:before="40" w:line="283" w:lineRule="auto"/>
            </w:pPr>
            <w:r/>
            <w:r>
              <w:rPr>
                <w:rFonts w:ascii="微软雅黑" w:hAnsi="微软雅黑" w:eastAsia="微软雅黑"/>
                <w:b w:val="0"/>
                <w:sz w:val="16"/>
              </w:rPr>
              <w:t>MOI（设计阶段冻结清单）</w:t>
              <w:br/>
              <w:br/>
              <w:t>REQ-DB-05 · REQ-ING-01</w:t>
            </w:r>
          </w:p>
        </w:tc>
      </w:tr>
      <w:tr>
        <w:tc>
          <w:tcPr>
            <w:tcW w:type="dxa" w:w="1134"/>
          </w:tcPr>
          <w:p>
            <w:pPr>
              <w:spacing w:after="40" w:before="40" w:line="283" w:lineRule="auto"/>
            </w:pPr>
            <w:r/>
            <w:r>
              <w:rPr>
                <w:rFonts w:ascii="微软雅黑" w:hAnsi="微软雅黑" w:eastAsia="微软雅黑"/>
                <w:b w:val="0"/>
                <w:sz w:val="16"/>
              </w:rPr>
              <w:t>AS-03</w:t>
              <w:br/>
              <w:br/>
              <w:t>待确认</w:t>
            </w:r>
          </w:p>
        </w:tc>
        <w:tc>
          <w:tcPr>
            <w:tcW w:type="dxa" w:w="3515"/>
          </w:tcPr>
          <w:p>
            <w:pPr>
              <w:spacing w:after="40" w:before="40" w:line="283" w:lineRule="auto"/>
            </w:pPr>
            <w:r/>
            <w:r>
              <w:rPr>
                <w:rFonts w:ascii="微软雅黑" w:hAnsi="微软雅黑" w:eastAsia="微软雅黑"/>
                <w:b w:val="0"/>
                <w:sz w:val="16"/>
              </w:rPr>
              <w:t>DS 展示库是为对外集成专门提供的只读库，提供基表访问与数据字典。</w:t>
              <w:br/>
              <w:br/>
              <w:t>【依据】与 DS 商定的两种方案中我方选择读原生基表。</w:t>
            </w:r>
          </w:p>
        </w:tc>
        <w:tc>
          <w:tcPr>
            <w:tcW w:type="dxa" w:w="2494"/>
          </w:tcPr>
          <w:p>
            <w:pPr>
              <w:spacing w:after="40" w:before="40" w:line="283" w:lineRule="auto"/>
            </w:pPr>
            <w:r/>
            <w:r>
              <w:rPr>
                <w:rFonts w:ascii="微软雅黑" w:hAnsi="微软雅黑" w:eastAsia="微软雅黑"/>
                <w:b w:val="0"/>
                <w:sz w:val="16"/>
              </w:rPr>
              <w:t>若实际为生产库副本，其结构会随 DS 产品版本变化，结构漂移告警频率上升，映射维护成为长期工作。</w:t>
            </w:r>
          </w:p>
        </w:tc>
        <w:tc>
          <w:tcPr>
            <w:tcW w:type="dxa" w:w="1701"/>
          </w:tcPr>
          <w:p>
            <w:pPr>
              <w:spacing w:after="40" w:before="40" w:line="283" w:lineRule="auto"/>
            </w:pPr>
            <w:r/>
            <w:r>
              <w:rPr>
                <w:rFonts w:ascii="微软雅黑" w:hAnsi="微软雅黑" w:eastAsia="微软雅黑"/>
                <w:b w:val="0"/>
                <w:sz w:val="16"/>
              </w:rPr>
              <w:t>DS</w:t>
              <w:br/>
              <w:br/>
              <w:t>REQ-ING-02 · REQ-ING-06</w:t>
            </w:r>
          </w:p>
        </w:tc>
      </w:tr>
      <w:tr>
        <w:tc>
          <w:tcPr>
            <w:tcW w:type="dxa" w:w="1134"/>
          </w:tcPr>
          <w:p>
            <w:pPr>
              <w:spacing w:after="40" w:before="40" w:line="283" w:lineRule="auto"/>
            </w:pPr>
            <w:r/>
            <w:r>
              <w:rPr>
                <w:rFonts w:ascii="微软雅黑" w:hAnsi="微软雅黑" w:eastAsia="微软雅黑"/>
                <w:b w:val="0"/>
                <w:sz w:val="16"/>
              </w:rPr>
              <w:t>AS-04</w:t>
              <w:br/>
              <w:br/>
              <w:t>待确认</w:t>
            </w:r>
          </w:p>
        </w:tc>
        <w:tc>
          <w:tcPr>
            <w:tcW w:type="dxa" w:w="3515"/>
          </w:tcPr>
          <w:p>
            <w:pPr>
              <w:spacing w:after="40" w:before="40" w:line="283" w:lineRule="auto"/>
            </w:pPr>
            <w:r/>
            <w:r>
              <w:rPr>
                <w:rFonts w:ascii="微软雅黑" w:hAnsi="微软雅黑" w:eastAsia="微软雅黑"/>
                <w:b w:val="0"/>
                <w:sz w:val="16"/>
              </w:rPr>
              <w:t>DS 至少提供带时区的更新时间戳作为水位线；若无数据库侧递增序号，以十五分钟回看窗口加幂等键兜底。</w:t>
              <w:br/>
              <w:br/>
              <w:t>【依据】增量接入的通用做法与设计判断。</w:t>
            </w:r>
          </w:p>
        </w:tc>
        <w:tc>
          <w:tcPr>
            <w:tcW w:type="dxa" w:w="2494"/>
          </w:tcPr>
          <w:p>
            <w:pPr>
              <w:spacing w:after="40" w:before="40" w:line="283" w:lineRule="auto"/>
            </w:pPr>
            <w:r/>
            <w:r>
              <w:rPr>
                <w:rFonts w:ascii="微软雅黑" w:hAnsi="微软雅黑" w:eastAsia="微软雅黑"/>
                <w:b w:val="0"/>
                <w:sz w:val="16"/>
              </w:rPr>
              <w:t>若时间戳精度或单调性不足，增量拉取存在漏数风险，须改为周期性全量比对，成本与源端负载显著上升。</w:t>
            </w:r>
          </w:p>
        </w:tc>
        <w:tc>
          <w:tcPr>
            <w:tcW w:type="dxa" w:w="1701"/>
          </w:tcPr>
          <w:p>
            <w:pPr>
              <w:spacing w:after="40" w:before="40" w:line="283" w:lineRule="auto"/>
            </w:pPr>
            <w:r/>
            <w:r>
              <w:rPr>
                <w:rFonts w:ascii="微软雅黑" w:hAnsi="微软雅黑" w:eastAsia="微软雅黑"/>
                <w:b w:val="0"/>
                <w:sz w:val="16"/>
              </w:rPr>
              <w:t>DS</w:t>
              <w:br/>
              <w:br/>
              <w:t>REQ-ING-02</w:t>
            </w:r>
          </w:p>
        </w:tc>
      </w:tr>
      <w:tr>
        <w:tc>
          <w:tcPr>
            <w:tcW w:type="dxa" w:w="1134"/>
          </w:tcPr>
          <w:p>
            <w:pPr>
              <w:spacing w:after="40" w:before="40" w:line="283" w:lineRule="auto"/>
            </w:pPr>
            <w:r/>
            <w:r>
              <w:rPr>
                <w:rFonts w:ascii="微软雅黑" w:hAnsi="微软雅黑" w:eastAsia="微软雅黑"/>
                <w:b w:val="0"/>
                <w:sz w:val="16"/>
              </w:rPr>
              <w:t>AS-05</w:t>
              <w:br/>
              <w:br/>
              <w:t>待确认</w:t>
            </w:r>
          </w:p>
        </w:tc>
        <w:tc>
          <w:tcPr>
            <w:tcW w:type="dxa" w:w="3515"/>
          </w:tcPr>
          <w:p>
            <w:pPr>
              <w:spacing w:after="40" w:before="40" w:line="283" w:lineRule="auto"/>
            </w:pPr>
            <w:r/>
            <w:r>
              <w:rPr>
                <w:rFonts w:ascii="微软雅黑" w:hAnsi="微软雅黑" w:eastAsia="微软雅黑"/>
                <w:b w:val="0"/>
                <w:sz w:val="16"/>
              </w:rPr>
              <w:t>ICP 数据最终以 REST 直连或经 ESB 转发方式接入，两者对本方数据模型无影响，仅影响适配器工作量与就绪时间。</w:t>
              <w:br/>
              <w:br/>
              <w:t>【依据】RFP 2.6.1.26 要求经本方提供的中间件/ESB 集成；现场沟通为 ICP 仅提供 REST 接口。两者需要调和。</w:t>
            </w:r>
          </w:p>
        </w:tc>
        <w:tc>
          <w:tcPr>
            <w:tcW w:type="dxa" w:w="2494"/>
          </w:tcPr>
          <w:p>
            <w:pPr>
              <w:spacing w:after="40" w:before="40" w:line="283" w:lineRule="auto"/>
            </w:pPr>
            <w:r/>
            <w:r>
              <w:rPr>
                <w:rFonts w:ascii="微软雅黑" w:hAnsi="微软雅黑" w:eastAsia="微软雅黑"/>
                <w:b w:val="0"/>
                <w:sz w:val="16"/>
              </w:rPr>
              <w:t>若必须经 ESB 且 ESB 由他方提供，话务数据接入的时间取决于 ESB 就绪，不由我方控制。</w:t>
            </w:r>
          </w:p>
        </w:tc>
        <w:tc>
          <w:tcPr>
            <w:tcW w:type="dxa" w:w="1701"/>
          </w:tcPr>
          <w:p>
            <w:pPr>
              <w:spacing w:after="40" w:before="40" w:line="283" w:lineRule="auto"/>
            </w:pPr>
            <w:r/>
            <w:r>
              <w:rPr>
                <w:rFonts w:ascii="微软雅黑" w:hAnsi="微软雅黑" w:eastAsia="微软雅黑"/>
                <w:b w:val="0"/>
                <w:sz w:val="16"/>
              </w:rPr>
              <w:t>总包商 + ICP</w:t>
              <w:br/>
              <w:br/>
              <w:t>REQ-ING-03 · REQ-API-03</w:t>
            </w:r>
          </w:p>
        </w:tc>
      </w:tr>
      <w:tr>
        <w:tc>
          <w:tcPr>
            <w:tcW w:type="dxa" w:w="1134"/>
          </w:tcPr>
          <w:p>
            <w:pPr>
              <w:spacing w:after="40" w:before="40" w:line="283" w:lineRule="auto"/>
            </w:pPr>
            <w:r/>
            <w:r>
              <w:rPr>
                <w:rFonts w:ascii="微软雅黑" w:hAnsi="微软雅黑" w:eastAsia="微软雅黑"/>
                <w:b w:val="0"/>
                <w:sz w:val="16"/>
              </w:rPr>
              <w:t>AS-06</w:t>
              <w:br/>
              <w:br/>
              <w:t>未取得文档</w:t>
            </w:r>
          </w:p>
        </w:tc>
        <w:tc>
          <w:tcPr>
            <w:tcW w:type="dxa" w:w="3515"/>
          </w:tcPr>
          <w:p>
            <w:pPr>
              <w:spacing w:after="40" w:before="40" w:line="283" w:lineRule="auto"/>
            </w:pPr>
            <w:r/>
            <w:r>
              <w:rPr>
                <w:rFonts w:ascii="微软雅黑" w:hAnsi="微软雅黑" w:eastAsia="微软雅黑"/>
                <w:b w:val="0"/>
                <w:sz w:val="16"/>
              </w:rPr>
              <w:t>ICP 能提供支撑 RFP 1.6.2.20.1 至 1.6.2.20.5 五类话务指标的明细数据：应答前振铃次数、呈现与实际处理数、挂断方、同一主叫的失败呼叫历史、未接与转接与骚扰呼叫。</w:t>
              <w:br/>
              <w:br/>
              <w:t>【依据】RFP 明确列出这五类报表内容。</w:t>
            </w:r>
          </w:p>
        </w:tc>
        <w:tc>
          <w:tcPr>
            <w:tcW w:type="dxa" w:w="2494"/>
          </w:tcPr>
          <w:p>
            <w:pPr>
              <w:spacing w:after="40" w:before="40" w:line="283" w:lineRule="auto"/>
            </w:pPr>
            <w:r/>
            <w:r>
              <w:rPr>
                <w:rFonts w:ascii="微软雅黑" w:hAnsi="微软雅黑" w:eastAsia="微软雅黑"/>
                <w:b w:val="0"/>
                <w:sz w:val="16"/>
              </w:rPr>
              <w:t>若 ICP 不提供，这五类指标无法交付，直接构成 1.6.2.20 不合规。本册中技术后果最重的一条。</w:t>
            </w:r>
          </w:p>
        </w:tc>
        <w:tc>
          <w:tcPr>
            <w:tcW w:type="dxa" w:w="1701"/>
          </w:tcPr>
          <w:p>
            <w:pPr>
              <w:spacing w:after="40" w:before="40" w:line="283" w:lineRule="auto"/>
            </w:pPr>
            <w:r/>
            <w:r>
              <w:rPr>
                <w:rFonts w:ascii="微软雅黑" w:hAnsi="微软雅黑" w:eastAsia="微软雅黑"/>
                <w:b w:val="0"/>
                <w:sz w:val="16"/>
              </w:rPr>
              <w:t>ICP（接口文档）</w:t>
              <w:br/>
              <w:br/>
              <w:t>REQ-RPT-06 · REQ-ING-03</w:t>
            </w:r>
          </w:p>
        </w:tc>
      </w:tr>
      <w:tr>
        <w:tc>
          <w:tcPr>
            <w:tcW w:type="dxa" w:w="1134"/>
          </w:tcPr>
          <w:p>
            <w:pPr>
              <w:spacing w:after="40" w:before="40" w:line="283" w:lineRule="auto"/>
            </w:pPr>
            <w:r/>
            <w:r>
              <w:rPr>
                <w:rFonts w:ascii="微软雅黑" w:hAnsi="微软雅黑" w:eastAsia="微软雅黑"/>
                <w:b w:val="0"/>
                <w:sz w:val="16"/>
              </w:rPr>
              <w:t>AS-07</w:t>
              <w:br/>
              <w:br/>
              <w:t>待验证</w:t>
            </w:r>
          </w:p>
        </w:tc>
        <w:tc>
          <w:tcPr>
            <w:tcW w:type="dxa" w:w="3515"/>
          </w:tcPr>
          <w:p>
            <w:pPr>
              <w:spacing w:after="40" w:before="40" w:line="283" w:lineRule="auto"/>
            </w:pPr>
            <w:r/>
            <w:r>
              <w:rPr>
                <w:rFonts w:ascii="微软雅黑" w:hAnsi="微软雅黑" w:eastAsia="微软雅黑"/>
                <w:b w:val="0"/>
                <w:sz w:val="16"/>
              </w:rPr>
              <w:t>CAD 与 ICP 之间存在两侧统一的通话标识，可稳定关联呼叫与警情。</w:t>
              <w:br/>
              <w:br/>
              <w:t>【依据】客户答复：有一个通话 ID，两边统一。</w:t>
            </w:r>
          </w:p>
        </w:tc>
        <w:tc>
          <w:tcPr>
            <w:tcW w:type="dxa" w:w="2494"/>
          </w:tcPr>
          <w:p>
            <w:pPr>
              <w:spacing w:after="40" w:before="40" w:line="283" w:lineRule="auto"/>
            </w:pPr>
            <w:r/>
            <w:r>
              <w:rPr>
                <w:rFonts w:ascii="微软雅黑" w:hAnsi="微软雅黑" w:eastAsia="微软雅黑"/>
                <w:b w:val="0"/>
                <w:sz w:val="16"/>
              </w:rPr>
              <w:t>若实际关联率低或存在大量无标识警情，从振铃到出警的全过程指标须改为基于时间窗与坐席工号的概率匹配，并在报表上标注为推断关系。</w:t>
            </w:r>
          </w:p>
        </w:tc>
        <w:tc>
          <w:tcPr>
            <w:tcW w:type="dxa" w:w="1701"/>
          </w:tcPr>
          <w:p>
            <w:pPr>
              <w:spacing w:after="40" w:before="40" w:line="283" w:lineRule="auto"/>
            </w:pPr>
            <w:r/>
            <w:r>
              <w:rPr>
                <w:rFonts w:ascii="微软雅黑" w:hAnsi="微软雅黑" w:eastAsia="微软雅黑"/>
                <w:b w:val="0"/>
                <w:sz w:val="16"/>
              </w:rPr>
              <w:t>以真实数据验证 + DS 确认</w:t>
              <w:br/>
              <w:br/>
              <w:t>REQ-MOD-04 · REQ-RPT-06</w:t>
            </w:r>
          </w:p>
        </w:tc>
      </w:tr>
      <w:tr>
        <w:tc>
          <w:tcPr>
            <w:tcW w:type="dxa" w:w="1134"/>
          </w:tcPr>
          <w:p>
            <w:pPr>
              <w:spacing w:after="40" w:before="40" w:line="283" w:lineRule="auto"/>
            </w:pPr>
            <w:r/>
            <w:r>
              <w:rPr>
                <w:rFonts w:ascii="微软雅黑" w:hAnsi="微软雅黑" w:eastAsia="微软雅黑"/>
                <w:b w:val="0"/>
                <w:sz w:val="16"/>
              </w:rPr>
              <w:t>AS-08</w:t>
              <w:br/>
              <w:br/>
              <w:t>未确认</w:t>
            </w:r>
          </w:p>
        </w:tc>
        <w:tc>
          <w:tcPr>
            <w:tcW w:type="dxa" w:w="3515"/>
          </w:tcPr>
          <w:p>
            <w:pPr>
              <w:spacing w:after="40" w:before="40" w:line="283" w:lineRule="auto"/>
            </w:pPr>
            <w:r/>
            <w:r>
              <w:rPr>
                <w:rFonts w:ascii="微软雅黑" w:hAnsi="微软雅黑" w:eastAsia="微软雅黑"/>
                <w:b w:val="0"/>
                <w:sz w:val="16"/>
              </w:rPr>
              <w:t>四十张自定义报表与二十个仪表板是本期麦加一个中心的交付总量；RFP 1.6.2.18 与 1.6.2.28 要求的"复刻现有报表"包含在这四十张之内，不另行计数。</w:t>
              <w:br/>
              <w:br/>
              <w:t>【依据】条款解读。1.6.2.25 为硬数字，1.6.2.18/1.6.2.28/1.6.2.20 为开口表述。</w:t>
            </w:r>
          </w:p>
        </w:tc>
        <w:tc>
          <w:tcPr>
            <w:tcW w:type="dxa" w:w="2494"/>
          </w:tcPr>
          <w:p>
            <w:pPr>
              <w:spacing w:after="40" w:before="40" w:line="283" w:lineRule="auto"/>
            </w:pPr>
            <w:r/>
            <w:r>
              <w:rPr>
                <w:rFonts w:ascii="微软雅黑" w:hAnsi="微软雅黑" w:eastAsia="微软雅黑"/>
                <w:b w:val="0"/>
                <w:sz w:val="16"/>
              </w:rPr>
              <w:t>若 MOI 认为"复刻现有报表"另行计数，交付量可能接近翻倍。必须在设计阶段书面澄清。</w:t>
            </w:r>
          </w:p>
        </w:tc>
        <w:tc>
          <w:tcPr>
            <w:tcW w:type="dxa" w:w="1701"/>
          </w:tcPr>
          <w:p>
            <w:pPr>
              <w:spacing w:after="40" w:before="40" w:line="283" w:lineRule="auto"/>
            </w:pPr>
            <w:r/>
            <w:r>
              <w:rPr>
                <w:rFonts w:ascii="微软雅黑" w:hAnsi="微软雅黑" w:eastAsia="微软雅黑"/>
                <w:b w:val="0"/>
                <w:sz w:val="16"/>
              </w:rPr>
              <w:t>MOI（书面确认）</w:t>
              <w:br/>
              <w:br/>
              <w:t>REQ-RPT-01 · REQ-RPT-03 · REQ-DSH-01</w:t>
            </w:r>
          </w:p>
        </w:tc>
      </w:tr>
      <w:tr>
        <w:tc>
          <w:tcPr>
            <w:tcW w:type="dxa" w:w="1134"/>
          </w:tcPr>
          <w:p>
            <w:pPr>
              <w:spacing w:after="40" w:before="40" w:line="283" w:lineRule="auto"/>
            </w:pPr>
            <w:r/>
            <w:r>
              <w:rPr>
                <w:rFonts w:ascii="微软雅黑" w:hAnsi="微软雅黑" w:eastAsia="微软雅黑"/>
                <w:b w:val="0"/>
                <w:sz w:val="16"/>
              </w:rPr>
              <w:t>AS-09</w:t>
              <w:br/>
              <w:br/>
              <w:t>已确认（差异已消解）</w:t>
            </w:r>
          </w:p>
        </w:tc>
        <w:tc>
          <w:tcPr>
            <w:tcW w:type="dxa" w:w="3515"/>
          </w:tcPr>
          <w:p>
            <w:pPr>
              <w:spacing w:after="40" w:before="40" w:line="283" w:lineRule="auto"/>
            </w:pPr>
            <w:r/>
            <w:r>
              <w:rPr>
                <w:rFonts w:ascii="微软雅黑" w:hAnsi="微软雅黑" w:eastAsia="微软雅黑"/>
                <w:b w:val="0"/>
                <w:sz w:val="16"/>
              </w:rPr>
              <w:t>移动端本期交付，形态为管理看板：仅供主管与管理员使用，只呈现封账后的聚合指标，不提供记录级下钻、媒体访问与导出；不使用 APNs 与 FCM 推送，应用打开后主动拉取；告警经短信与邮件网关送达。应用经 MOI 既有 MDM 分发，客户端经 internet 与 DMZ 反向代理访问内网服务层。</w:t>
              <w:br/>
              <w:br/>
              <w:t>【依据】客户答复：MOI 已有 MDM；内政部数据不经 FCM 与 APNs 转发；移动端为管理看板而非接警员与调度员的作业工具，打开应用后拉取信息即可；DMZ 由总包商运维，短信与邮件网关亦由总包商提供。</w:t>
            </w:r>
          </w:p>
        </w:tc>
        <w:tc>
          <w:tcPr>
            <w:tcW w:type="dxa" w:w="2494"/>
          </w:tcPr>
          <w:p>
            <w:pPr>
              <w:spacing w:after="40" w:before="40" w:line="283" w:lineRule="auto"/>
            </w:pPr>
            <w:r/>
            <w:r>
              <w:rPr>
                <w:rFonts w:ascii="微软雅黑" w:hAnsi="微软雅黑" w:eastAsia="微软雅黑"/>
                <w:b w:val="0"/>
                <w:sz w:val="16"/>
              </w:rPr>
              <w:t>已消解。原判断（移动端列为后续阶段）曾构成与 RFP 1.3.2.12.15 的实质差异，现按上述形态交付，条款获正面响应。残留风险有二：一、若后续被要求提供记录级下钻，911 明细数据传输至移动设备需在数据分类政策中单独获批，审批难度显著上升（CN-13 为前置门）；二、移动端链路含 DMZ 与公网段，不适用 RFP 1.6.7.5 的亚秒响应承诺，须在服务水平判定口径中单列或排除（IR-21）。</w:t>
            </w:r>
          </w:p>
        </w:tc>
        <w:tc>
          <w:tcPr>
            <w:tcW w:type="dxa" w:w="1701"/>
          </w:tcPr>
          <w:p>
            <w:pPr>
              <w:spacing w:after="40" w:before="40" w:line="283" w:lineRule="auto"/>
            </w:pPr>
            <w:r/>
            <w:r>
              <w:rPr>
                <w:rFonts w:ascii="微软雅黑" w:hAnsi="微软雅黑" w:eastAsia="微软雅黑"/>
                <w:b w:val="0"/>
                <w:sz w:val="16"/>
              </w:rPr>
              <w:t>已确认</w:t>
              <w:br/>
              <w:br/>
              <w:t>REQ-MOB-01 · REQ-SEC-02 · REQ-GOV-02</w:t>
            </w:r>
          </w:p>
        </w:tc>
      </w:tr>
      <w:tr>
        <w:tc>
          <w:tcPr>
            <w:tcW w:type="dxa" w:w="1134"/>
          </w:tcPr>
          <w:p>
            <w:pPr>
              <w:spacing w:after="40" w:before="40" w:line="283" w:lineRule="auto"/>
            </w:pPr>
            <w:r/>
            <w:r>
              <w:rPr>
                <w:rFonts w:ascii="微软雅黑" w:hAnsi="微软雅黑" w:eastAsia="微软雅黑"/>
                <w:b w:val="0"/>
                <w:sz w:val="16"/>
              </w:rPr>
              <w:t>AS-10</w:t>
              <w:br/>
              <w:br/>
              <w:t>待确认</w:t>
            </w:r>
          </w:p>
        </w:tc>
        <w:tc>
          <w:tcPr>
            <w:tcW w:type="dxa" w:w="3515"/>
          </w:tcPr>
          <w:p>
            <w:pPr>
              <w:spacing w:after="40" w:before="40" w:line="283" w:lineRule="auto"/>
            </w:pPr>
            <w:r/>
            <w:r>
              <w:rPr>
                <w:rFonts w:ascii="微软雅黑" w:hAnsi="微软雅黑" w:eastAsia="微软雅黑"/>
                <w:b w:val="0"/>
                <w:sz w:val="16"/>
              </w:rPr>
              <w:t>服务水平达成情况由我方监控数据举证。</w:t>
              <w:br/>
              <w:br/>
              <w:t>【依据】客户答复：我们自己举证。</w:t>
            </w:r>
          </w:p>
        </w:tc>
        <w:tc>
          <w:tcPr>
            <w:tcW w:type="dxa" w:w="2494"/>
          </w:tcPr>
          <w:p>
            <w:pPr>
              <w:spacing w:after="40" w:before="40" w:line="283" w:lineRule="auto"/>
            </w:pPr>
            <w:r/>
            <w:r>
              <w:rPr>
                <w:rFonts w:ascii="微软雅黑" w:hAnsi="微软雅黑" w:eastAsia="微软雅黑"/>
                <w:b w:val="0"/>
                <w:sz w:val="16"/>
              </w:rPr>
              <w:t>若最终须以 MOI 或总包商的监控为准，测量口径的差异足以使一个实际达标的系统被判为不达标。判定口径必须事先书面认可。</w:t>
            </w:r>
          </w:p>
        </w:tc>
        <w:tc>
          <w:tcPr>
            <w:tcW w:type="dxa" w:w="1701"/>
          </w:tcPr>
          <w:p>
            <w:pPr>
              <w:spacing w:after="40" w:before="40" w:line="283" w:lineRule="auto"/>
            </w:pPr>
            <w:r/>
            <w:r>
              <w:rPr>
                <w:rFonts w:ascii="微软雅黑" w:hAnsi="微软雅黑" w:eastAsia="微软雅黑"/>
                <w:b w:val="0"/>
                <w:sz w:val="16"/>
              </w:rPr>
              <w:t>总包商 / MOI</w:t>
              <w:br/>
              <w:br/>
              <w:t>REQ-AVL-04</w:t>
            </w:r>
          </w:p>
        </w:tc>
      </w:tr>
      <w:tr>
        <w:tc>
          <w:tcPr>
            <w:tcW w:type="dxa" w:w="1134"/>
          </w:tcPr>
          <w:p>
            <w:pPr>
              <w:spacing w:after="40" w:before="40" w:line="283" w:lineRule="auto"/>
            </w:pPr>
            <w:r/>
            <w:r>
              <w:rPr>
                <w:rFonts w:ascii="微软雅黑" w:hAnsi="微软雅黑" w:eastAsia="微软雅黑"/>
                <w:b w:val="0"/>
                <w:sz w:val="16"/>
              </w:rPr>
              <w:t>AS-11</w:t>
              <w:br/>
              <w:br/>
              <w:t>待确认</w:t>
            </w:r>
          </w:p>
        </w:tc>
        <w:tc>
          <w:tcPr>
            <w:tcW w:type="dxa" w:w="3515"/>
          </w:tcPr>
          <w:p>
            <w:pPr>
              <w:spacing w:after="40" w:before="40" w:line="283" w:lineRule="auto"/>
            </w:pPr>
            <w:r/>
            <w:r>
              <w:rPr>
                <w:rFonts w:ascii="微软雅黑" w:hAnsi="微软雅黑" w:eastAsia="微软雅黑"/>
                <w:b w:val="0"/>
                <w:sz w:val="16"/>
              </w:rPr>
              <w:t>计划停机可逐次取得批准，存在可用的停机窗口。</w:t>
              <w:br/>
              <w:br/>
              <w:t>【依据】RFP 1.5.2.9 允许计划停机但须逐次报批，且 MOI 可设置禁止窗口。</w:t>
            </w:r>
          </w:p>
        </w:tc>
        <w:tc>
          <w:tcPr>
            <w:tcW w:type="dxa" w:w="2494"/>
          </w:tcPr>
          <w:p>
            <w:pPr>
              <w:spacing w:after="40" w:before="40" w:line="283" w:lineRule="auto"/>
            </w:pPr>
            <w:r/>
            <w:r>
              <w:rPr>
                <w:rFonts w:ascii="微软雅黑" w:hAnsi="微软雅黑" w:eastAsia="微软雅黑"/>
                <w:b w:val="0"/>
                <w:sz w:val="16"/>
              </w:rPr>
              <w:t>若朝觐季全程禁窗且其余时段窗口极短，须具备完全不停机的滚动升级能力，工作量与测试复杂度上升。</w:t>
            </w:r>
          </w:p>
        </w:tc>
        <w:tc>
          <w:tcPr>
            <w:tcW w:type="dxa" w:w="1701"/>
          </w:tcPr>
          <w:p>
            <w:pPr>
              <w:spacing w:after="40" w:before="40" w:line="283" w:lineRule="auto"/>
            </w:pPr>
            <w:r/>
            <w:r>
              <w:rPr>
                <w:rFonts w:ascii="微软雅黑" w:hAnsi="微软雅黑" w:eastAsia="微软雅黑"/>
                <w:b w:val="0"/>
                <w:sz w:val="16"/>
              </w:rPr>
              <w:t>MOI</w:t>
              <w:br/>
              <w:br/>
              <w:t>REQ-AVL-03</w:t>
            </w:r>
          </w:p>
        </w:tc>
      </w:tr>
      <w:tr>
        <w:tc>
          <w:tcPr>
            <w:tcW w:type="dxa" w:w="1134"/>
          </w:tcPr>
          <w:p>
            <w:pPr>
              <w:spacing w:after="40" w:before="40" w:line="283" w:lineRule="auto"/>
            </w:pPr>
            <w:r/>
            <w:r>
              <w:rPr>
                <w:rFonts w:ascii="微软雅黑" w:hAnsi="微软雅黑" w:eastAsia="微软雅黑"/>
                <w:b w:val="0"/>
                <w:sz w:val="16"/>
              </w:rPr>
              <w:t>AS-12</w:t>
              <w:br/>
              <w:br/>
              <w:t>建议值待确认</w:t>
            </w:r>
          </w:p>
        </w:tc>
        <w:tc>
          <w:tcPr>
            <w:tcW w:type="dxa" w:w="3515"/>
          </w:tcPr>
          <w:p>
            <w:pPr>
              <w:spacing w:after="40" w:before="40" w:line="283" w:lineRule="auto"/>
            </w:pPr>
            <w:r/>
            <w:r>
              <w:rPr>
                <w:rFonts w:ascii="微软雅黑" w:hAnsi="微软雅黑" w:eastAsia="微软雅黑"/>
                <w:b w:val="0"/>
                <w:sz w:val="16"/>
              </w:rPr>
              <w:t>日切采用沙特时间公历，以 00:00 AST 为界；日结在次日固定时刻（建议 02:00 AST）封账。</w:t>
              <w:br/>
              <w:br/>
              <w:t>【依据】客户答复按沙特标准日历；封账时刻为设计建议。</w:t>
            </w:r>
          </w:p>
        </w:tc>
        <w:tc>
          <w:tcPr>
            <w:tcW w:type="dxa" w:w="2494"/>
          </w:tcPr>
          <w:p>
            <w:pPr>
              <w:spacing w:after="40" w:before="40" w:line="283" w:lineRule="auto"/>
            </w:pPr>
            <w:r/>
            <w:r>
              <w:rPr>
                <w:rFonts w:ascii="微软雅黑" w:hAnsi="微软雅黑" w:eastAsia="微软雅黑"/>
                <w:b w:val="0"/>
                <w:sz w:val="16"/>
              </w:rPr>
              <w:t>若业务要求按接警班次边界切分，全部日粒度指标的口径需重算，报表与仪表板的时间轴逻辑随之调整。</w:t>
            </w:r>
          </w:p>
        </w:tc>
        <w:tc>
          <w:tcPr>
            <w:tcW w:type="dxa" w:w="1701"/>
          </w:tcPr>
          <w:p>
            <w:pPr>
              <w:spacing w:after="40" w:before="40" w:line="283" w:lineRule="auto"/>
            </w:pPr>
            <w:r/>
            <w:r>
              <w:rPr>
                <w:rFonts w:ascii="微软雅黑" w:hAnsi="微软雅黑" w:eastAsia="微软雅黑"/>
                <w:b w:val="0"/>
                <w:sz w:val="16"/>
              </w:rPr>
              <w:t>MOI 业务</w:t>
              <w:br/>
              <w:br/>
              <w:t>REQ-DB-02</w:t>
            </w:r>
          </w:p>
        </w:tc>
      </w:tr>
      <w:tr>
        <w:tc>
          <w:tcPr>
            <w:tcW w:type="dxa" w:w="1134"/>
          </w:tcPr>
          <w:p>
            <w:pPr>
              <w:spacing w:after="40" w:before="40" w:line="283" w:lineRule="auto"/>
            </w:pPr>
            <w:r/>
            <w:r>
              <w:rPr>
                <w:rFonts w:ascii="微软雅黑" w:hAnsi="微软雅黑" w:eastAsia="微软雅黑"/>
                <w:b w:val="0"/>
                <w:sz w:val="16"/>
              </w:rPr>
              <w:t>AS-13</w:t>
              <w:br/>
              <w:br/>
              <w:t>已确认</w:t>
            </w:r>
          </w:p>
        </w:tc>
        <w:tc>
          <w:tcPr>
            <w:tcW w:type="dxa" w:w="3515"/>
          </w:tcPr>
          <w:p>
            <w:pPr>
              <w:spacing w:after="40" w:before="40" w:line="283" w:lineRule="auto"/>
            </w:pPr>
            <w:r/>
            <w:r>
              <w:rPr>
                <w:rFonts w:ascii="微软雅黑" w:hAnsi="微软雅黑" w:eastAsia="微软雅黑"/>
                <w:b w:val="0"/>
                <w:sz w:val="16"/>
              </w:rPr>
              <w:t>缓变维按"当时"记录（Type 2）。</w:t>
              <w:br/>
              <w:br/>
              <w:t>【依据】客户确认：看当时。</w:t>
            </w:r>
          </w:p>
        </w:tc>
        <w:tc>
          <w:tcPr>
            <w:tcW w:type="dxa" w:w="2494"/>
          </w:tcPr>
          <w:p>
            <w:pPr>
              <w:spacing w:after="40" w:before="40" w:line="283" w:lineRule="auto"/>
            </w:pPr>
            <w:r/>
            <w:r>
              <w:rPr>
                <w:rFonts w:ascii="微软雅黑" w:hAnsi="微软雅黑" w:eastAsia="微软雅黑"/>
                <w:b w:val="0"/>
                <w:sz w:val="16"/>
              </w:rPr>
              <w:t>—（已确认）</w:t>
            </w:r>
          </w:p>
        </w:tc>
        <w:tc>
          <w:tcPr>
            <w:tcW w:type="dxa" w:w="1701"/>
          </w:tcPr>
          <w:p>
            <w:pPr>
              <w:spacing w:after="40" w:before="40" w:line="283" w:lineRule="auto"/>
            </w:pPr>
            <w:r/>
            <w:r>
              <w:rPr>
                <w:rFonts w:ascii="微软雅黑" w:hAnsi="微软雅黑" w:eastAsia="微软雅黑"/>
                <w:b w:val="0"/>
                <w:sz w:val="16"/>
              </w:rPr>
              <w:t>—</w:t>
              <w:br/>
              <w:br/>
              <w:t>REQ-MOD-03</w:t>
            </w:r>
          </w:p>
        </w:tc>
      </w:tr>
      <w:tr>
        <w:tc>
          <w:tcPr>
            <w:tcW w:type="dxa" w:w="1134"/>
          </w:tcPr>
          <w:p>
            <w:pPr>
              <w:spacing w:after="40" w:before="40" w:line="283" w:lineRule="auto"/>
            </w:pPr>
            <w:r/>
            <w:r>
              <w:rPr>
                <w:rFonts w:ascii="微软雅黑" w:hAnsi="微软雅黑" w:eastAsia="微软雅黑"/>
                <w:b w:val="0"/>
                <w:sz w:val="16"/>
              </w:rPr>
              <w:t>AS-14</w:t>
              <w:br/>
              <w:br/>
              <w:t>已推翻（2026-09）</w:t>
            </w:r>
          </w:p>
        </w:tc>
        <w:tc>
          <w:tcPr>
            <w:tcW w:type="dxa" w:w="3515"/>
          </w:tcPr>
          <w:p>
            <w:pPr>
              <w:spacing w:after="40" w:before="40" w:line="283" w:lineRule="auto"/>
            </w:pPr>
            <w:r/>
            <w:r>
              <w:rPr>
                <w:rFonts w:ascii="微软雅黑" w:hAnsi="微软雅黑" w:eastAsia="微软雅黑"/>
                <w:b w:val="0"/>
                <w:sz w:val="16"/>
              </w:rPr>
              <w:t>原假设：权限为四角色的纯角色访问控制，不需按辖区或单位切分数据。【原依据】客户答复：本中心目录只有接警员、调度员、主管、管理员四个角色。</w:t>
              <w:br/>
              <w:br/>
              <w:t>【实际情况】四个角色不变，但 911 中心的调度员来自不同派驻部门，各自只应看到本部门数据；主管同样按部门划分；接警员接所有来电、不分部门。原推理的漏洞在于把角色的数量当成了数据切分的维度。</w:t>
            </w:r>
          </w:p>
        </w:tc>
        <w:tc>
          <w:tcPr>
            <w:tcW w:type="dxa" w:w="2494"/>
          </w:tcPr>
          <w:p>
            <w:pPr>
              <w:spacing w:after="40" w:before="40" w:line="283" w:lineRule="auto"/>
            </w:pPr>
            <w:r/>
            <w:r>
              <w:rPr>
                <w:rFonts w:ascii="微软雅黑" w:hAnsi="微软雅黑" w:eastAsia="微软雅黑"/>
                <w:b w:val="0"/>
                <w:sz w:val="16"/>
              </w:rPr>
              <w:t>已发生。REQ-SEC-03 由「预留」改为「必须」，行级安全本期启用。因 DD-19 已预留处置单位维度与数据范围下推接口，本次为启用与策略实现，非重构。处置方式见 CN-33 与 DD-41。</w:t>
            </w:r>
          </w:p>
        </w:tc>
        <w:tc>
          <w:tcPr>
            <w:tcW w:type="dxa" w:w="1701"/>
          </w:tcPr>
          <w:p>
            <w:pPr>
              <w:spacing w:after="40" w:before="40" w:line="283" w:lineRule="auto"/>
            </w:pPr>
            <w:r/>
            <w:r>
              <w:rPr>
                <w:rFonts w:ascii="微软雅黑" w:hAnsi="微软雅黑" w:eastAsia="微软雅黑"/>
                <w:b w:val="0"/>
                <w:sz w:val="16"/>
              </w:rPr>
              <w:t>已推翻</w:t>
              <w:br/>
              <w:br/>
              <w:t>REQ-SEC-02 · REQ-SEC-03 · DD-19 · DD-41</w:t>
            </w:r>
          </w:p>
        </w:tc>
      </w:tr>
      <w:tr>
        <w:tc>
          <w:tcPr>
            <w:tcW w:type="dxa" w:w="1134"/>
          </w:tcPr>
          <w:p>
            <w:pPr>
              <w:spacing w:after="40" w:before="40" w:line="283" w:lineRule="auto"/>
            </w:pPr>
            <w:r/>
            <w:r>
              <w:rPr>
                <w:rFonts w:ascii="微软雅黑" w:hAnsi="微软雅黑" w:eastAsia="微软雅黑"/>
                <w:b w:val="0"/>
                <w:sz w:val="16"/>
              </w:rPr>
              <w:t>AS-15</w:t>
              <w:br/>
              <w:br/>
              <w:t>已确认</w:t>
            </w:r>
          </w:p>
        </w:tc>
        <w:tc>
          <w:tcPr>
            <w:tcW w:type="dxa" w:w="3515"/>
          </w:tcPr>
          <w:p>
            <w:pPr>
              <w:spacing w:after="40" w:before="40" w:line="283" w:lineRule="auto"/>
            </w:pPr>
            <w:r/>
            <w:r>
              <w:rPr>
                <w:rFonts w:ascii="微软雅黑" w:hAnsi="微软雅黑" w:eastAsia="微软雅黑"/>
                <w:b w:val="0"/>
                <w:sz w:val="16"/>
              </w:rPr>
              <w:t>报表按语言各出一份，阿语版与英语版为两套模板，不做阿英混排。</w:t>
              <w:br/>
              <w:br/>
              <w:t>【依据】客户答复：分别两张表，每张一种语言。</w:t>
            </w:r>
          </w:p>
        </w:tc>
        <w:tc>
          <w:tcPr>
            <w:tcW w:type="dxa" w:w="2494"/>
          </w:tcPr>
          <w:p>
            <w:pPr>
              <w:spacing w:after="40" w:before="40" w:line="283" w:lineRule="auto"/>
            </w:pPr>
            <w:r/>
            <w:r>
              <w:rPr>
                <w:rFonts w:ascii="微软雅黑" w:hAnsi="微软雅黑" w:eastAsia="微软雅黑"/>
                <w:b w:val="0"/>
                <w:sz w:val="16"/>
              </w:rPr>
              <w:t>—（已确认）。衍生事项见 IR-07：源系统维度取值是否双语。</w:t>
            </w:r>
          </w:p>
        </w:tc>
        <w:tc>
          <w:tcPr>
            <w:tcW w:type="dxa" w:w="1701"/>
          </w:tcPr>
          <w:p>
            <w:pPr>
              <w:spacing w:after="40" w:before="40" w:line="283" w:lineRule="auto"/>
            </w:pPr>
            <w:r/>
            <w:r>
              <w:rPr>
                <w:rFonts w:ascii="微软雅黑" w:hAnsi="微软雅黑" w:eastAsia="微软雅黑"/>
                <w:b w:val="0"/>
                <w:sz w:val="16"/>
              </w:rPr>
              <w:t>—</w:t>
              <w:br/>
              <w:br/>
              <w:t>REQ-RPT-08 · REQ-RPT-09</w:t>
            </w:r>
          </w:p>
        </w:tc>
      </w:tr>
      <w:tr>
        <w:tc>
          <w:tcPr>
            <w:tcW w:type="dxa" w:w="1134"/>
          </w:tcPr>
          <w:p>
            <w:pPr>
              <w:spacing w:after="40" w:before="40" w:line="283" w:lineRule="auto"/>
            </w:pPr>
            <w:r/>
            <w:r>
              <w:rPr>
                <w:rFonts w:ascii="微软雅黑" w:hAnsi="微软雅黑" w:eastAsia="微软雅黑"/>
                <w:b w:val="0"/>
                <w:sz w:val="16"/>
              </w:rPr>
              <w:t>AS-16</w:t>
              <w:br/>
              <w:br/>
              <w:t>已确认</w:t>
            </w:r>
          </w:p>
        </w:tc>
        <w:tc>
          <w:tcPr>
            <w:tcW w:type="dxa" w:w="3515"/>
          </w:tcPr>
          <w:p>
            <w:pPr>
              <w:spacing w:after="40" w:before="40" w:line="283" w:lineRule="auto"/>
            </w:pPr>
            <w:r/>
            <w:r>
              <w:rPr>
                <w:rFonts w:ascii="微软雅黑" w:hAnsi="微软雅黑" w:eastAsia="微软雅黑"/>
                <w:b w:val="0"/>
                <w:sz w:val="16"/>
              </w:rPr>
              <w:t>通话录音由话务平台产生并由生产系统按磁带方式备份，不属于本系统存储范围；本系统仅保存录音元数据与访问引用。</w:t>
              <w:br/>
              <w:br/>
              <w:t>【依据】客户答复：录音是生产系统的备份，磁带机。</w:t>
            </w:r>
          </w:p>
        </w:tc>
        <w:tc>
          <w:tcPr>
            <w:tcW w:type="dxa" w:w="2494"/>
          </w:tcPr>
          <w:p>
            <w:pPr>
              <w:spacing w:after="40" w:before="40" w:line="283" w:lineRule="auto"/>
            </w:pPr>
            <w:r/>
            <w:r>
              <w:rPr>
                <w:rFonts w:ascii="微软雅黑" w:hAnsi="微软雅黑" w:eastAsia="微软雅黑"/>
                <w:b w:val="0"/>
                <w:sz w:val="16"/>
              </w:rPr>
              <w:t>若要求本系统保存录音本体，按 64 kbps 计每年新增约 23 TB，存储需求从 GB 级跃升，须重新报价。</w:t>
            </w:r>
          </w:p>
        </w:tc>
        <w:tc>
          <w:tcPr>
            <w:tcW w:type="dxa" w:w="1701"/>
          </w:tcPr>
          <w:p>
            <w:pPr>
              <w:spacing w:after="40" w:before="40" w:line="283" w:lineRule="auto"/>
            </w:pPr>
            <w:r/>
            <w:r>
              <w:rPr>
                <w:rFonts w:ascii="微软雅黑" w:hAnsi="微软雅黑" w:eastAsia="微软雅黑"/>
                <w:b w:val="0"/>
                <w:sz w:val="16"/>
              </w:rPr>
              <w:t>—</w:t>
              <w:br/>
              <w:br/>
              <w:t>REQ-ING-03 · REQ-MOD-07</w:t>
            </w:r>
          </w:p>
        </w:tc>
      </w:tr>
      <w:tr>
        <w:tc>
          <w:tcPr>
            <w:tcW w:type="dxa" w:w="1134"/>
          </w:tcPr>
          <w:p>
            <w:pPr>
              <w:spacing w:after="40" w:before="40" w:line="283" w:lineRule="auto"/>
            </w:pPr>
            <w:r/>
            <w:r>
              <w:rPr>
                <w:rFonts w:ascii="微软雅黑" w:hAnsi="微软雅黑" w:eastAsia="微软雅黑"/>
                <w:b w:val="0"/>
                <w:sz w:val="16"/>
              </w:rPr>
              <w:t>AS-17</w:t>
              <w:br/>
              <w:br/>
              <w:t>已确认</w:t>
            </w:r>
          </w:p>
        </w:tc>
        <w:tc>
          <w:tcPr>
            <w:tcW w:type="dxa" w:w="3515"/>
          </w:tcPr>
          <w:p>
            <w:pPr>
              <w:spacing w:after="40" w:before="40" w:line="283" w:lineRule="auto"/>
            </w:pPr>
            <w:r/>
            <w:r>
              <w:rPr>
                <w:rFonts w:ascii="微软雅黑" w:hAnsi="微软雅黑" w:eastAsia="微软雅黑"/>
                <w:b w:val="0"/>
                <w:sz w:val="16"/>
              </w:rPr>
              <w:t>归档库中不含 ICP 话务数据。</w:t>
              <w:br/>
              <w:br/>
              <w:t>【依据】客户答复：归档库里没有 ICP。</w:t>
            </w:r>
          </w:p>
        </w:tc>
        <w:tc>
          <w:tcPr>
            <w:tcW w:type="dxa" w:w="2494"/>
          </w:tcPr>
          <w:p>
            <w:pPr>
              <w:spacing w:after="40" w:before="40" w:line="283" w:lineRule="auto"/>
            </w:pPr>
            <w:r/>
            <w:r>
              <w:rPr>
                <w:rFonts w:ascii="微软雅黑" w:hAnsi="微软雅黑" w:eastAsia="微软雅黑"/>
                <w:b w:val="0"/>
                <w:sz w:val="16"/>
              </w:rPr>
              <w:t>历史话务类指标无法回溯到迁移之前，只能从新系统上线起累积。这是一个真实的能力缺口，须在报表说明中写明起算时点，避免被理解为数据缺失。</w:t>
            </w:r>
          </w:p>
        </w:tc>
        <w:tc>
          <w:tcPr>
            <w:tcW w:type="dxa" w:w="1701"/>
          </w:tcPr>
          <w:p>
            <w:pPr>
              <w:spacing w:after="40" w:before="40" w:line="283" w:lineRule="auto"/>
            </w:pPr>
            <w:r/>
            <w:r>
              <w:rPr>
                <w:rFonts w:ascii="微软雅黑" w:hAnsi="微软雅黑" w:eastAsia="微软雅黑"/>
                <w:b w:val="0"/>
                <w:sz w:val="16"/>
              </w:rPr>
              <w:t>—</w:t>
              <w:br/>
              <w:br/>
              <w:t>REQ-MIG-07 · REQ-RPT-06</w:t>
            </w:r>
          </w:p>
        </w:tc>
      </w:tr>
      <w:tr>
        <w:tc>
          <w:tcPr>
            <w:tcW w:type="dxa" w:w="1134"/>
          </w:tcPr>
          <w:p>
            <w:pPr>
              <w:spacing w:after="40" w:before="40" w:line="283" w:lineRule="auto"/>
            </w:pPr>
            <w:r/>
            <w:r>
              <w:rPr>
                <w:rFonts w:ascii="微软雅黑" w:hAnsi="微软雅黑" w:eastAsia="微软雅黑"/>
                <w:b w:val="0"/>
                <w:sz w:val="16"/>
              </w:rPr>
              <w:t>AS-18</w:t>
              <w:br/>
              <w:br/>
              <w:t>已确认</w:t>
            </w:r>
          </w:p>
        </w:tc>
        <w:tc>
          <w:tcPr>
            <w:tcW w:type="dxa" w:w="3515"/>
          </w:tcPr>
          <w:p>
            <w:pPr>
              <w:spacing w:after="40" w:before="40" w:line="283" w:lineRule="auto"/>
            </w:pPr>
            <w:r/>
            <w:r>
              <w:rPr>
                <w:rFonts w:ascii="微软雅黑" w:hAnsi="微软雅黑" w:eastAsia="微软雅黑"/>
                <w:b w:val="0"/>
                <w:sz w:val="16"/>
              </w:rPr>
              <w:t>对象存储由本方部署（内政部不提供 S3 服务）。</w:t>
              <w:br/>
              <w:br/>
              <w:t>【依据】客户答复：内政部没有 S3 服务提供，我们需要部署。</w:t>
            </w:r>
          </w:p>
        </w:tc>
        <w:tc>
          <w:tcPr>
            <w:tcW w:type="dxa" w:w="2494"/>
          </w:tcPr>
          <w:p>
            <w:pPr>
              <w:spacing w:after="40" w:before="40" w:line="283" w:lineRule="auto"/>
            </w:pPr>
            <w:r/>
            <w:r>
              <w:rPr>
                <w:rFonts w:ascii="微软雅黑" w:hAnsi="微软雅黑" w:eastAsia="微软雅黑"/>
                <w:b w:val="0"/>
                <w:sz w:val="16"/>
              </w:rPr>
              <w:t>—（已确认）</w:t>
            </w:r>
          </w:p>
        </w:tc>
        <w:tc>
          <w:tcPr>
            <w:tcW w:type="dxa" w:w="1701"/>
          </w:tcPr>
          <w:p>
            <w:pPr>
              <w:spacing w:after="40" w:before="40" w:line="283" w:lineRule="auto"/>
            </w:pPr>
            <w:r/>
            <w:r>
              <w:rPr>
                <w:rFonts w:ascii="微软雅黑" w:hAnsi="微软雅黑" w:eastAsia="微软雅黑"/>
                <w:b w:val="0"/>
                <w:sz w:val="16"/>
              </w:rPr>
              <w:t>—</w:t>
              <w:br/>
              <w:br/>
              <w:t>REQ-MOD-07</w:t>
            </w:r>
          </w:p>
        </w:tc>
      </w:tr>
      <w:tr>
        <w:tc>
          <w:tcPr>
            <w:tcW w:type="dxa" w:w="1134"/>
          </w:tcPr>
          <w:p>
            <w:pPr>
              <w:spacing w:after="40" w:before="40" w:line="283" w:lineRule="auto"/>
            </w:pPr>
            <w:r/>
            <w:r>
              <w:rPr>
                <w:rFonts w:ascii="微软雅黑" w:hAnsi="微软雅黑" w:eastAsia="微软雅黑"/>
                <w:b w:val="0"/>
                <w:sz w:val="16"/>
              </w:rPr>
              <w:t>AS-19</w:t>
              <w:br/>
              <w:br/>
              <w:t>待确认</w:t>
            </w:r>
          </w:p>
        </w:tc>
        <w:tc>
          <w:tcPr>
            <w:tcW w:type="dxa" w:w="3515"/>
          </w:tcPr>
          <w:p>
            <w:pPr>
              <w:spacing w:after="40" w:before="40" w:line="283" w:lineRule="auto"/>
            </w:pPr>
            <w:r/>
            <w:r>
              <w:rPr>
                <w:rFonts w:ascii="微软雅黑" w:hAnsi="微软雅黑" w:eastAsia="微软雅黑"/>
                <w:b w:val="0"/>
                <w:sz w:val="16"/>
              </w:rPr>
              <w:t>现场媒体容量按低估算取值：约 10% 警情携带 3 张照片、每张 2 MB。</w:t>
              <w:br/>
              <w:br/>
              <w:t>【依据】缺乏实际数据时的保守取值。</w:t>
            </w:r>
          </w:p>
        </w:tc>
        <w:tc>
          <w:tcPr>
            <w:tcW w:type="dxa" w:w="2494"/>
          </w:tcPr>
          <w:p>
            <w:pPr>
              <w:spacing w:after="40" w:before="40" w:line="283" w:lineRule="auto"/>
            </w:pPr>
            <w:r/>
            <w:r>
              <w:rPr>
                <w:rFonts w:ascii="微软雅黑" w:hAnsi="微软雅黑" w:eastAsia="微软雅黑"/>
                <w:b w:val="0"/>
                <w:sz w:val="16"/>
              </w:rPr>
              <w:t>高估算（30% × 5 张）下八年需约 50 TB，与低估算的 10 TB 相差五倍。容量不足将导致合同期内紧急扩容。</w:t>
            </w:r>
          </w:p>
        </w:tc>
        <w:tc>
          <w:tcPr>
            <w:tcW w:type="dxa" w:w="1701"/>
          </w:tcPr>
          <w:p>
            <w:pPr>
              <w:spacing w:after="40" w:before="40" w:line="283" w:lineRule="auto"/>
            </w:pPr>
            <w:r/>
            <w:r>
              <w:rPr>
                <w:rFonts w:ascii="微软雅黑" w:hAnsi="微软雅黑" w:eastAsia="微软雅黑"/>
                <w:b w:val="0"/>
                <w:sz w:val="16"/>
              </w:rPr>
              <w:t>业务方</w:t>
              <w:br/>
              <w:br/>
              <w:t>REQ-DB-03</w:t>
            </w:r>
          </w:p>
        </w:tc>
      </w:tr>
      <w:tr>
        <w:tc>
          <w:tcPr>
            <w:tcW w:type="dxa" w:w="1134"/>
          </w:tcPr>
          <w:p>
            <w:pPr>
              <w:spacing w:after="40" w:before="40" w:line="283" w:lineRule="auto"/>
            </w:pPr>
            <w:r/>
            <w:r>
              <w:rPr>
                <w:rFonts w:ascii="微软雅黑" w:hAnsi="微软雅黑" w:eastAsia="微软雅黑"/>
                <w:b w:val="0"/>
                <w:sz w:val="16"/>
              </w:rPr>
              <w:t>AS-20</w:t>
              <w:br/>
              <w:br/>
              <w:t>已确认</w:t>
            </w:r>
          </w:p>
        </w:tc>
        <w:tc>
          <w:tcPr>
            <w:tcW w:type="dxa" w:w="3515"/>
          </w:tcPr>
          <w:p>
            <w:pPr>
              <w:spacing w:after="40" w:before="40" w:line="283" w:lineRule="auto"/>
            </w:pPr>
            <w:r/>
            <w:r>
              <w:rPr>
                <w:rFonts w:ascii="微软雅黑" w:hAnsi="微软雅黑" w:eastAsia="微软雅黑"/>
                <w:b w:val="0"/>
                <w:sz w:val="16"/>
              </w:rPr>
              <w:t>业务规模：朝觐期峰值 5 万呼叫/日，平时数千；实际席位 120 接警 + 120 调度，容量按 300 + 300 声明；系统用户数十人。</w:t>
              <w:br/>
              <w:br/>
              <w:t>【依据】客户答复与 RFP 2.7.3.3 的容量维度。</w:t>
            </w:r>
          </w:p>
        </w:tc>
        <w:tc>
          <w:tcPr>
            <w:tcW w:type="dxa" w:w="2494"/>
          </w:tcPr>
          <w:p>
            <w:pPr>
              <w:spacing w:after="40" w:before="40" w:line="283" w:lineRule="auto"/>
            </w:pPr>
            <w:r/>
            <w:r>
              <w:rPr>
                <w:rFonts w:ascii="微软雅黑" w:hAnsi="微软雅黑" w:eastAsia="微软雅黑"/>
                <w:b w:val="0"/>
                <w:sz w:val="16"/>
              </w:rPr>
              <w:t>规模上升一个数量级时需重新评估资源，但当前设计有充分余量。低风险项。</w:t>
            </w:r>
          </w:p>
        </w:tc>
        <w:tc>
          <w:tcPr>
            <w:tcW w:type="dxa" w:w="1701"/>
          </w:tcPr>
          <w:p>
            <w:pPr>
              <w:spacing w:after="40" w:before="40" w:line="283" w:lineRule="auto"/>
            </w:pPr>
            <w:r/>
            <w:r>
              <w:rPr>
                <w:rFonts w:ascii="微软雅黑" w:hAnsi="微软雅黑" w:eastAsia="微软雅黑"/>
                <w:b w:val="0"/>
                <w:sz w:val="16"/>
              </w:rPr>
              <w:t>—</w:t>
              <w:br/>
              <w:br/>
              <w:t>REQ-PRF-03 · REQ-LIC-05</w:t>
            </w:r>
          </w:p>
        </w:tc>
      </w:tr>
      <w:tr>
        <w:tc>
          <w:tcPr>
            <w:tcW w:type="dxa" w:w="1134"/>
          </w:tcPr>
          <w:p>
            <w:pPr>
              <w:spacing w:after="40" w:before="40" w:line="283" w:lineRule="auto"/>
            </w:pPr>
            <w:r/>
            <w:r>
              <w:rPr>
                <w:rFonts w:ascii="微软雅黑" w:hAnsi="微软雅黑" w:eastAsia="微软雅黑"/>
                <w:b w:val="0"/>
                <w:sz w:val="16"/>
              </w:rPr>
              <w:t>AS-21</w:t>
              <w:br/>
              <w:br/>
              <w:t>已计算（2026-09 修订）</w:t>
            </w:r>
          </w:p>
        </w:tc>
        <w:tc>
          <w:tcPr>
            <w:tcW w:type="dxa" w:w="3515"/>
          </w:tcPr>
          <w:p>
            <w:pPr>
              <w:spacing w:after="40" w:before="40" w:line="283" w:lineRule="auto"/>
            </w:pPr>
            <w:r/>
            <w:r>
              <w:rPr>
                <w:rFonts w:ascii="微软雅黑" w:hAnsi="微软雅黑" w:eastAsia="微软雅黑"/>
                <w:b w:val="0"/>
                <w:sz w:val="16"/>
              </w:rPr>
              <w:t>数据量不是本设计的驱动因素。原按八年计算明细数据加索引约 1.3 TB；迁移起始年份经确认为 2016 年，上线时历史跨度约十一年，按比例约 1.8 TB。</w:t>
              <w:br/>
              <w:br/>
              <w:t>【依据】按业务规模基线计算，并按已确认的 2016 年迁移起始年份修订。</w:t>
            </w:r>
          </w:p>
        </w:tc>
        <w:tc>
          <w:tcPr>
            <w:tcW w:type="dxa" w:w="2494"/>
          </w:tcPr>
          <w:p>
            <w:pPr>
              <w:spacing w:after="40" w:before="40" w:line="283" w:lineRule="auto"/>
            </w:pPr>
            <w:r/>
            <w:r>
              <w:rPr>
                <w:rFonts w:ascii="微软雅黑" w:hAnsi="微软雅黑" w:eastAsia="微软雅黑"/>
                <w:b w:val="0"/>
                <w:sz w:val="16"/>
              </w:rPr>
              <w:t>结论不变：数据库数据盘按 4 TB 配置仍有充分余量，架构不受影响。真正的不确定性在日志类数据（见 IR-38），其量级尚未估算。若实际数据量再高一个数量级，存储与分区策略需调整，但架构不变。</w:t>
            </w:r>
          </w:p>
        </w:tc>
        <w:tc>
          <w:tcPr>
            <w:tcW w:type="dxa" w:w="1701"/>
          </w:tcPr>
          <w:p>
            <w:pPr>
              <w:spacing w:after="40" w:before="40" w:line="283" w:lineRule="auto"/>
            </w:pPr>
            <w:r/>
            <w:r>
              <w:rPr>
                <w:rFonts w:ascii="微软雅黑" w:hAnsi="微软雅黑" w:eastAsia="微软雅黑"/>
                <w:b w:val="0"/>
                <w:sz w:val="16"/>
              </w:rPr>
              <w:t>—</w:t>
              <w:br/>
              <w:br/>
              <w:t>REQ-DB-03 · REQ-MOD-06 · IR-38</w:t>
            </w:r>
          </w:p>
        </w:tc>
      </w:tr>
      <w:tr>
        <w:tc>
          <w:tcPr>
            <w:tcW w:type="dxa" w:w="1134"/>
          </w:tcPr>
          <w:p>
            <w:pPr>
              <w:spacing w:after="40" w:before="40" w:line="283" w:lineRule="auto"/>
            </w:pPr>
            <w:r/>
            <w:r>
              <w:rPr>
                <w:rFonts w:ascii="微软雅黑" w:hAnsi="微软雅黑" w:eastAsia="微软雅黑"/>
                <w:b w:val="0"/>
                <w:sz w:val="16"/>
              </w:rPr>
              <w:t>AS-22</w:t>
              <w:br/>
              <w:br/>
              <w:t>待确认</w:t>
            </w:r>
          </w:p>
        </w:tc>
        <w:tc>
          <w:tcPr>
            <w:tcW w:type="dxa" w:w="3515"/>
          </w:tcPr>
          <w:p>
            <w:pPr>
              <w:spacing w:after="40" w:before="40" w:line="283" w:lineRule="auto"/>
            </w:pPr>
            <w:r/>
            <w:r>
              <w:rPr>
                <w:rFonts w:ascii="微软雅黑" w:hAnsi="微软雅黑" w:eastAsia="微软雅黑"/>
                <w:b w:val="0"/>
                <w:sz w:val="16"/>
              </w:rPr>
              <w:t>本期仅交付麦加一个中心；RFP 1.6.2.33 的跨中心统一仪表板为架构预留，不作为本期交付。</w:t>
              <w:br/>
              <w:br/>
              <w:t>【依据】客户答复：麦地那是另外一个合同。</w:t>
            </w:r>
          </w:p>
        </w:tc>
        <w:tc>
          <w:tcPr>
            <w:tcW w:type="dxa" w:w="2494"/>
          </w:tcPr>
          <w:p>
            <w:pPr>
              <w:spacing w:after="40" w:before="40" w:line="283" w:lineRule="auto"/>
            </w:pPr>
            <w:r/>
            <w:r>
              <w:rPr>
                <w:rFonts w:ascii="微软雅黑" w:hAnsi="微软雅黑" w:eastAsia="微软雅黑"/>
                <w:b w:val="0"/>
                <w:sz w:val="16"/>
              </w:rPr>
              <w:t>若 MOI 要求本期即实现跨中心统一仪表板，需另议范围与工期。</w:t>
            </w:r>
          </w:p>
        </w:tc>
        <w:tc>
          <w:tcPr>
            <w:tcW w:type="dxa" w:w="1701"/>
          </w:tcPr>
          <w:p>
            <w:pPr>
              <w:spacing w:after="40" w:before="40" w:line="283" w:lineRule="auto"/>
            </w:pPr>
            <w:r/>
            <w:r>
              <w:rPr>
                <w:rFonts w:ascii="微软雅黑" w:hAnsi="微软雅黑" w:eastAsia="微软雅黑"/>
                <w:b w:val="0"/>
                <w:sz w:val="16"/>
              </w:rPr>
              <w:t>MOI</w:t>
              <w:br/>
              <w:br/>
              <w:t>REQ-DSH-10 · REQ-MSI-01</w:t>
            </w:r>
          </w:p>
        </w:tc>
      </w:tr>
      <w:tr>
        <w:tc>
          <w:tcPr>
            <w:tcW w:type="dxa" w:w="1134"/>
          </w:tcPr>
          <w:p>
            <w:pPr>
              <w:spacing w:after="40" w:before="40" w:line="283" w:lineRule="auto"/>
            </w:pPr>
            <w:r/>
            <w:r>
              <w:rPr>
                <w:rFonts w:ascii="微软雅黑" w:hAnsi="微软雅黑" w:eastAsia="微软雅黑"/>
                <w:b w:val="0"/>
                <w:sz w:val="16"/>
              </w:rPr>
              <w:t>AS-23</w:t>
              <w:br/>
              <w:br/>
              <w:t>待核对</w:t>
            </w:r>
          </w:p>
        </w:tc>
        <w:tc>
          <w:tcPr>
            <w:tcW w:type="dxa" w:w="3515"/>
          </w:tcPr>
          <w:p>
            <w:pPr>
              <w:spacing w:after="40" w:before="40" w:line="283" w:lineRule="auto"/>
            </w:pPr>
            <w:r/>
            <w:r>
              <w:rPr>
                <w:rFonts w:ascii="微软雅黑" w:hAnsi="微软雅黑" w:eastAsia="微软雅黑"/>
                <w:b w:val="0"/>
                <w:sz w:val="16"/>
              </w:rPr>
              <w:t>DS 的 POC 大屏不在交付范围内，由本方交付的大屏取代。</w:t>
              <w:br/>
              <w:br/>
              <w:t>【依据】客户答复：DS 那块大屏不交付，我们参考做。</w:t>
            </w:r>
          </w:p>
        </w:tc>
        <w:tc>
          <w:tcPr>
            <w:tcW w:type="dxa" w:w="2494"/>
          </w:tcPr>
          <w:p>
            <w:pPr>
              <w:spacing w:after="40" w:before="40" w:line="283" w:lineRule="auto"/>
            </w:pPr>
            <w:r/>
            <w:r>
              <w:rPr>
                <w:rFonts w:ascii="微软雅黑" w:hAnsi="微软雅黑" w:eastAsia="微软雅黑"/>
                <w:b w:val="0"/>
                <w:sz w:val="16"/>
              </w:rPr>
              <w:t>MOI 相关人员已看过 POC，预期被其界面锚定。本方大屏功能覆盖低于 POC 会被视为倒退。须逐项核对 POC 元素的数据源可得性。</w:t>
            </w:r>
          </w:p>
        </w:tc>
        <w:tc>
          <w:tcPr>
            <w:tcW w:type="dxa" w:w="1701"/>
          </w:tcPr>
          <w:p>
            <w:pPr>
              <w:spacing w:after="40" w:before="40" w:line="283" w:lineRule="auto"/>
            </w:pPr>
            <w:r/>
            <w:r>
              <w:rPr>
                <w:rFonts w:ascii="微软雅黑" w:hAnsi="微软雅黑" w:eastAsia="微软雅黑"/>
                <w:b w:val="0"/>
                <w:sz w:val="16"/>
              </w:rPr>
              <w:t>我方核对 + DS 确认</w:t>
              <w:br/>
              <w:br/>
              <w:t>REQ-DSH-02 · IR-31</w:t>
            </w:r>
          </w:p>
        </w:tc>
      </w:tr>
      <w:tr>
        <w:tc>
          <w:tcPr>
            <w:tcW w:type="dxa" w:w="1134"/>
          </w:tcPr>
          <w:p>
            <w:pPr>
              <w:spacing w:after="40" w:before="40" w:line="283" w:lineRule="auto"/>
            </w:pPr>
            <w:r/>
            <w:r>
              <w:rPr>
                <w:rFonts w:ascii="微软雅黑" w:hAnsi="微软雅黑" w:eastAsia="微软雅黑"/>
                <w:b w:val="0"/>
                <w:sz w:val="16"/>
              </w:rPr>
              <w:t>AS-24</w:t>
              <w:br/>
              <w:br/>
              <w:t>待确认</w:t>
            </w:r>
          </w:p>
        </w:tc>
        <w:tc>
          <w:tcPr>
            <w:tcW w:type="dxa" w:w="3515"/>
          </w:tcPr>
          <w:p>
            <w:pPr>
              <w:spacing w:after="40" w:before="40" w:line="283" w:lineRule="auto"/>
            </w:pPr>
            <w:r/>
            <w:r>
              <w:rPr>
                <w:rFonts w:ascii="微软雅黑" w:hAnsi="微软雅黑" w:eastAsia="微软雅黑"/>
                <w:b w:val="0"/>
                <w:sz w:val="16"/>
              </w:rPr>
              <w:t>ESB 由总包商提供，本方仅开发适配器。</w:t>
              <w:br/>
              <w:br/>
              <w:t>【依据】RFP 表述为"CONTRACTOR supplied middleware/ESB"，在联合体内属总包商范围。</w:t>
            </w:r>
          </w:p>
        </w:tc>
        <w:tc>
          <w:tcPr>
            <w:tcW w:type="dxa" w:w="2494"/>
          </w:tcPr>
          <w:p>
            <w:pPr>
              <w:spacing w:after="40" w:before="40" w:line="283" w:lineRule="auto"/>
            </w:pPr>
            <w:r/>
            <w:r>
              <w:rPr>
                <w:rFonts w:ascii="微软雅黑" w:hAnsi="微软雅黑" w:eastAsia="微软雅黑"/>
                <w:b w:val="0"/>
                <w:sz w:val="16"/>
              </w:rPr>
              <w:t>RFP 1.6.2.31.2 要求的适配器交付时间取决于 ESB 规格冻结时间，不由本方控制。若 ESB 迟迟不定，此项无法完成。</w:t>
            </w:r>
          </w:p>
        </w:tc>
        <w:tc>
          <w:tcPr>
            <w:tcW w:type="dxa" w:w="1701"/>
          </w:tcPr>
          <w:p>
            <w:pPr>
              <w:spacing w:after="40" w:before="40" w:line="283" w:lineRule="auto"/>
            </w:pPr>
            <w:r/>
            <w:r>
              <w:rPr>
                <w:rFonts w:ascii="微软雅黑" w:hAnsi="微软雅黑" w:eastAsia="微软雅黑"/>
                <w:b w:val="0"/>
                <w:sz w:val="16"/>
              </w:rPr>
              <w:t>总包商</w:t>
              <w:br/>
              <w:br/>
              <w:t>REQ-API-03</w:t>
            </w:r>
          </w:p>
        </w:tc>
      </w:tr>
      <w:tr>
        <w:tc>
          <w:tcPr>
            <w:tcW w:type="dxa" w:w="1134"/>
          </w:tcPr>
          <w:p>
            <w:pPr>
              <w:spacing w:after="40" w:before="40" w:line="283" w:lineRule="auto"/>
            </w:pPr>
            <w:r/>
            <w:r>
              <w:rPr>
                <w:rFonts w:ascii="微软雅黑" w:hAnsi="微软雅黑" w:eastAsia="微软雅黑"/>
                <w:b w:val="0"/>
                <w:sz w:val="16"/>
              </w:rPr>
              <w:t>AS-25</w:t>
              <w:br/>
              <w:br/>
              <w:t>已确认</w:t>
            </w:r>
          </w:p>
        </w:tc>
        <w:tc>
          <w:tcPr>
            <w:tcW w:type="dxa" w:w="3515"/>
          </w:tcPr>
          <w:p>
            <w:pPr>
              <w:spacing w:after="40" w:before="40" w:line="283" w:lineRule="auto"/>
            </w:pPr>
            <w:r/>
            <w:r>
              <w:rPr>
                <w:rFonts w:ascii="微软雅黑" w:hAnsi="微软雅黑" w:eastAsia="微软雅黑"/>
                <w:b w:val="0"/>
                <w:sz w:val="16"/>
              </w:rPr>
              <w:t>系统运行于无互联网访问环境，补丁经内网镜像源分发。</w:t>
              <w:br/>
              <w:br/>
              <w:t>【依据】RFP 1.2.1.20 与客户答复（内政部专网、WiFi 为专网）。</w:t>
            </w:r>
          </w:p>
        </w:tc>
        <w:tc>
          <w:tcPr>
            <w:tcW w:type="dxa" w:w="2494"/>
          </w:tcPr>
          <w:p>
            <w:pPr>
              <w:spacing w:after="40" w:before="40" w:line="283" w:lineRule="auto"/>
            </w:pPr>
            <w:r/>
            <w:r>
              <w:rPr>
                <w:rFonts w:ascii="微软雅黑" w:hAnsi="微软雅黑" w:eastAsia="微软雅黑"/>
                <w:b w:val="0"/>
                <w:sz w:val="16"/>
              </w:rPr>
              <w:t>与 RFP 2.7.3.7 要求"保持最新稳定版本"存在张力：离线环境下的补丁节奏取决于镜像更新流程。须在运维方案中说明。</w:t>
            </w:r>
          </w:p>
        </w:tc>
        <w:tc>
          <w:tcPr>
            <w:tcW w:type="dxa" w:w="1701"/>
          </w:tcPr>
          <w:p>
            <w:pPr>
              <w:spacing w:after="40" w:before="40" w:line="283" w:lineRule="auto"/>
            </w:pPr>
            <w:r/>
            <w:r>
              <w:rPr>
                <w:rFonts w:ascii="微软雅黑" w:hAnsi="微软雅黑" w:eastAsia="微软雅黑"/>
                <w:b w:val="0"/>
                <w:sz w:val="16"/>
              </w:rPr>
              <w:t>—</w:t>
              <w:br/>
              <w:br/>
              <w:t>REQ-SEC-06 · REQ-LIC-08</w:t>
            </w:r>
          </w:p>
        </w:tc>
      </w:tr>
      <w:tr>
        <w:tc>
          <w:tcPr>
            <w:tcW w:type="dxa" w:w="1134"/>
          </w:tcPr>
          <w:p>
            <w:pPr>
              <w:spacing w:after="40" w:before="40" w:line="283" w:lineRule="auto"/>
            </w:pPr>
            <w:r/>
            <w:r>
              <w:rPr>
                <w:rFonts w:ascii="微软雅黑" w:hAnsi="微软雅黑" w:eastAsia="微软雅黑"/>
                <w:b w:val="0"/>
                <w:sz w:val="16"/>
              </w:rPr>
              <w:t>AS-26</w:t>
              <w:br/>
              <w:br/>
              <w:t>未确认</w:t>
            </w:r>
          </w:p>
        </w:tc>
        <w:tc>
          <w:tcPr>
            <w:tcW w:type="dxa" w:w="3515"/>
          </w:tcPr>
          <w:p>
            <w:pPr>
              <w:spacing w:after="40" w:before="40" w:line="283" w:lineRule="auto"/>
            </w:pPr>
            <w:r/>
            <w:r>
              <w:rPr>
                <w:rFonts w:ascii="微软雅黑" w:hAnsi="微软雅黑" w:eastAsia="微软雅黑"/>
                <w:b w:val="0"/>
                <w:sz w:val="16"/>
              </w:rPr>
              <w:t>客户反馈数据（满意度、回访）由他方系统采集，本方仅接入并纳入 BI。</w:t>
              <w:br/>
              <w:br/>
              <w:t>【依据】RFP 1.6.2.17 要求将客户反馈纳入 BI 并作为绩效的一部分，但未说明采集方。</w:t>
            </w:r>
          </w:p>
        </w:tc>
        <w:tc>
          <w:tcPr>
            <w:tcW w:type="dxa" w:w="2494"/>
          </w:tcPr>
          <w:p>
            <w:pPr>
              <w:spacing w:after="40" w:before="40" w:line="283" w:lineRule="auto"/>
            </w:pPr>
            <w:r/>
            <w:r>
              <w:rPr>
                <w:rFonts w:ascii="微软雅黑" w:hAnsi="微软雅黑" w:eastAsia="微软雅黑"/>
                <w:b w:val="0"/>
                <w:sz w:val="16"/>
              </w:rPr>
              <w:t>若采集也属本方范围，需增加反馈采集渠道的开发（表单、短信回访或 IVR 回访），属新增工作量。</w:t>
            </w:r>
          </w:p>
        </w:tc>
        <w:tc>
          <w:tcPr>
            <w:tcW w:type="dxa" w:w="1701"/>
          </w:tcPr>
          <w:p>
            <w:pPr>
              <w:spacing w:after="40" w:before="40" w:line="283" w:lineRule="auto"/>
            </w:pPr>
            <w:r/>
            <w:r>
              <w:rPr>
                <w:rFonts w:ascii="微软雅黑" w:hAnsi="微软雅黑" w:eastAsia="微软雅黑"/>
                <w:b w:val="0"/>
                <w:sz w:val="16"/>
              </w:rPr>
              <w:t>MOI / 总包商</w:t>
              <w:br/>
              <w:br/>
              <w:t>REQ-ING-04</w:t>
            </w:r>
          </w:p>
        </w:tc>
      </w:tr>
      <w:tr>
        <w:tc>
          <w:tcPr>
            <w:tcW w:type="dxa" w:w="1134"/>
          </w:tcPr>
          <w:p>
            <w:pPr>
              <w:spacing w:after="40" w:before="40" w:line="283" w:lineRule="auto"/>
            </w:pPr>
            <w:r/>
            <w:r>
              <w:rPr>
                <w:rFonts w:ascii="微软雅黑" w:hAnsi="微软雅黑" w:eastAsia="微软雅黑"/>
                <w:b w:val="0"/>
                <w:sz w:val="16"/>
              </w:rPr>
              <w:t>AS-27</w:t>
              <w:br/>
              <w:br/>
              <w:t>未确认</w:t>
            </w:r>
          </w:p>
        </w:tc>
        <w:tc>
          <w:tcPr>
            <w:tcW w:type="dxa" w:w="3515"/>
          </w:tcPr>
          <w:p>
            <w:pPr>
              <w:spacing w:after="40" w:before="40" w:line="283" w:lineRule="auto"/>
            </w:pPr>
            <w:r/>
            <w:r>
              <w:rPr>
                <w:rFonts w:ascii="微软雅黑" w:hAnsi="微软雅黑" w:eastAsia="微软雅黑"/>
                <w:b w:val="0"/>
                <w:sz w:val="16"/>
              </w:rPr>
              <w:t>RFP 2.3.2.8 要求 IRMS 具备 BI 能力，该能力由本方 BI 子系统承担，DS 的 CAD 不另做一套。</w:t>
              <w:br/>
              <w:br/>
              <w:t>【依据】避免重复建设与指标口径分裂的设计判断。</w:t>
            </w:r>
          </w:p>
        </w:tc>
        <w:tc>
          <w:tcPr>
            <w:tcW w:type="dxa" w:w="2494"/>
          </w:tcPr>
          <w:p>
            <w:pPr>
              <w:spacing w:after="40" w:before="40" w:line="283" w:lineRule="auto"/>
            </w:pPr>
            <w:r/>
            <w:r>
              <w:rPr>
                <w:rFonts w:ascii="微软雅黑" w:hAnsi="微软雅黑" w:eastAsia="微软雅黑"/>
                <w:b w:val="0"/>
                <w:sz w:val="16"/>
              </w:rPr>
              <w:t>若 DS 的 CAD 自带并交付一套 BI，将出现两套指标口径，与本方的指标权威地位冲突。须在联合体内划界。</w:t>
            </w:r>
          </w:p>
        </w:tc>
        <w:tc>
          <w:tcPr>
            <w:tcW w:type="dxa" w:w="1701"/>
          </w:tcPr>
          <w:p>
            <w:pPr>
              <w:spacing w:after="40" w:before="40" w:line="283" w:lineRule="auto"/>
            </w:pPr>
            <w:r/>
            <w:r>
              <w:rPr>
                <w:rFonts w:ascii="微软雅黑" w:hAnsi="微软雅黑" w:eastAsia="微软雅黑"/>
                <w:b w:val="0"/>
                <w:sz w:val="16"/>
              </w:rPr>
              <w:t>总包商 + DS</w:t>
              <w:br/>
              <w:br/>
              <w:t>REQ-RPT-07</w:t>
            </w:r>
          </w:p>
        </w:tc>
      </w:tr>
      <w:tr>
        <w:tc>
          <w:tcPr>
            <w:tcW w:type="dxa" w:w="1134"/>
          </w:tcPr>
          <w:p>
            <w:pPr>
              <w:spacing w:after="40" w:before="40" w:line="283" w:lineRule="auto"/>
            </w:pPr>
            <w:r/>
            <w:r>
              <w:rPr>
                <w:rFonts w:ascii="微软雅黑" w:hAnsi="微软雅黑" w:eastAsia="微软雅黑"/>
                <w:b w:val="0"/>
                <w:sz w:val="16"/>
              </w:rPr>
              <w:t>AS-28</w:t>
              <w:br/>
              <w:br/>
              <w:t>未确认</w:t>
            </w:r>
          </w:p>
        </w:tc>
        <w:tc>
          <w:tcPr>
            <w:tcW w:type="dxa" w:w="3515"/>
          </w:tcPr>
          <w:p>
            <w:pPr>
              <w:spacing w:after="40" w:before="40" w:line="283" w:lineRule="auto"/>
            </w:pPr>
            <w:r/>
            <w:r>
              <w:rPr>
                <w:rFonts w:ascii="微软雅黑" w:hAnsi="微软雅黑" w:eastAsia="微软雅黑"/>
                <w:b w:val="0"/>
                <w:sz w:val="16"/>
              </w:rPr>
              <w:t>SMS 相关报表与仪表板（RFP 2.3.1.19）的数据由 SMS 方案提供方供给，本方负责报表与仪表板。</w:t>
              <w:br/>
              <w:br/>
              <w:t>【依据】SMS 方案归属在投标阶段未定。</w:t>
            </w:r>
          </w:p>
        </w:tc>
        <w:tc>
          <w:tcPr>
            <w:tcW w:type="dxa" w:w="2494"/>
          </w:tcPr>
          <w:p>
            <w:pPr>
              <w:spacing w:after="40" w:before="40" w:line="283" w:lineRule="auto"/>
            </w:pPr>
            <w:r/>
            <w:r>
              <w:rPr>
                <w:rFonts w:ascii="微软雅黑" w:hAnsi="微软雅黑" w:eastAsia="微软雅黑"/>
                <w:b w:val="0"/>
                <w:sz w:val="16"/>
              </w:rPr>
              <w:t>若无 SMS 数据源，相关报表无法交付。</w:t>
            </w:r>
          </w:p>
        </w:tc>
        <w:tc>
          <w:tcPr>
            <w:tcW w:type="dxa" w:w="1701"/>
          </w:tcPr>
          <w:p>
            <w:pPr>
              <w:spacing w:after="40" w:before="40" w:line="283" w:lineRule="auto"/>
            </w:pPr>
            <w:r/>
            <w:r>
              <w:rPr>
                <w:rFonts w:ascii="微软雅黑" w:hAnsi="微软雅黑" w:eastAsia="微软雅黑"/>
                <w:b w:val="0"/>
                <w:sz w:val="16"/>
              </w:rPr>
              <w:t>总包商</w:t>
              <w:br/>
              <w:br/>
              <w:t>REQ-RPT-01</w:t>
            </w:r>
          </w:p>
        </w:tc>
      </w:tr>
      <w:tr>
        <w:tc>
          <w:tcPr>
            <w:tcW w:type="dxa" w:w="1134"/>
          </w:tcPr>
          <w:p>
            <w:pPr>
              <w:spacing w:after="40" w:before="40" w:line="283" w:lineRule="auto"/>
            </w:pPr>
            <w:r/>
            <w:r>
              <w:rPr>
                <w:rFonts w:ascii="微软雅黑" w:hAnsi="微软雅黑" w:eastAsia="微软雅黑"/>
                <w:b w:val="0"/>
                <w:sz w:val="16"/>
              </w:rPr>
              <w:t>AS-29</w:t>
              <w:br/>
              <w:br/>
              <w:t>未确认（需商务处置）</w:t>
            </w:r>
          </w:p>
        </w:tc>
        <w:tc>
          <w:tcPr>
            <w:tcW w:type="dxa" w:w="3515"/>
          </w:tcPr>
          <w:p>
            <w:pPr>
              <w:spacing w:after="40" w:before="40" w:line="283" w:lineRule="auto"/>
            </w:pPr>
            <w:r/>
            <w:r>
              <w:rPr>
                <w:rFonts w:ascii="微软雅黑" w:hAnsi="微软雅黑" w:eastAsia="微软雅黑"/>
                <w:b w:val="0"/>
                <w:sz w:val="16"/>
              </w:rPr>
              <w:t>交付范围中源码的边界：交付接入契约、dbt 模型、指标定义、DDL、部署脚本与组件清单，不交付服务层与前端的应用源码。</w:t>
              <w:br/>
              <w:br/>
              <w:t>【依据】前一组本身即 RFP 1.6.2.32 所要求的「字段、表、视图、过滤器与报表的定义与说明」，交付它们既满足该条，也支撑 2.7.3.1 的 MOI 可自行扩展；应用源码不在任何条款的明文要求内。</w:t>
            </w:r>
          </w:p>
        </w:tc>
        <w:tc>
          <w:tcPr>
            <w:tcW w:type="dxa" w:w="2494"/>
          </w:tcPr>
          <w:p>
            <w:pPr>
              <w:spacing w:after="40" w:before="40" w:line="283" w:lineRule="auto"/>
            </w:pPr>
            <w:r/>
            <w:r>
              <w:rPr>
                <w:rFonts w:ascii="微软雅黑" w:hAnsi="微软雅黑" w:eastAsia="微软雅黑"/>
                <w:b w:val="0"/>
                <w:sz w:val="16"/>
              </w:rPr>
              <w:t>两个方向都有风险。若 MOI 认为须交付全部源码，商务须重新评估交付范围与报价。反之若我方主张源码一概不交付，则与 AS-01「本项目为定制开发、基于开源组件、不以闭源产品形态交付」的立场自相矛盾——评标时可被反问：交付的究竟是开源方案还是闭源产品。这两句话不能同时说。且只交付制品而不交付模型与指标定义，很可能被判未满足 1.6.2.32。</w:t>
            </w:r>
          </w:p>
        </w:tc>
        <w:tc>
          <w:tcPr>
            <w:tcW w:type="dxa" w:w="1701"/>
          </w:tcPr>
          <w:p>
            <w:pPr>
              <w:spacing w:after="40" w:before="40" w:line="283" w:lineRule="auto"/>
            </w:pPr>
            <w:r/>
            <w:r>
              <w:rPr>
                <w:rFonts w:ascii="微软雅黑" w:hAnsi="微软雅黑" w:eastAsia="微软雅黑"/>
                <w:b w:val="0"/>
                <w:sz w:val="16"/>
              </w:rPr>
              <w:t>商务 / MOI</w:t>
              <w:br/>
              <w:br/>
              <w:t>REQ-DB-06 · REQ-LIC-03 · AS-01 · DD-49</w:t>
            </w:r>
          </w:p>
        </w:tc>
      </w:tr>
      <w:tr>
        <w:tc>
          <w:tcPr>
            <w:tcW w:type="dxa" w:w="1134"/>
          </w:tcPr>
          <w:p>
            <w:pPr>
              <w:spacing w:after="40" w:before="40" w:line="283" w:lineRule="auto"/>
            </w:pPr>
            <w:r>
              <w:t>AS-30</w:t>
            </w:r>
            <w:r>
              <w:rPr>
                <w:rFonts w:ascii="微软雅黑" w:hAnsi="微软雅黑" w:eastAsia="微软雅黑"/>
                <w:b w:val="0"/>
                <w:sz w:val="16"/>
              </w:rPr>
            </w:r>
          </w:p>
          <w:p/>
          <w:p>
            <w:r>
              <w:t>已确认</w:t>
            </w:r>
          </w:p>
        </w:tc>
        <w:tc>
          <w:tcPr>
            <w:tcW w:type="dxa" w:w="3515"/>
          </w:tcPr>
          <w:p>
            <w:pPr>
              <w:spacing w:after="40" w:before="40" w:line="283" w:lineRule="auto"/>
            </w:pPr>
            <w:r>
              <w:t>麦加 911 在 ICP 上为单一 VDN，不按号码、语种或部门切分为多个虚拟呼叫中心。</w:t>
            </w:r>
            <w:r>
              <w:rPr>
                <w:rFonts w:ascii="微软雅黑" w:hAnsi="微软雅黑" w:eastAsia="微软雅黑"/>
                <w:b w:val="0"/>
                <w:sz w:val="16"/>
              </w:rPr>
            </w:r>
          </w:p>
          <w:p>
            <w:r>
              <w:t>【依据】现场沟通答复（2026-10）。</w:t>
            </w:r>
          </w:p>
        </w:tc>
        <w:tc>
          <w:tcPr>
            <w:tcW w:type="dxa" w:w="2494"/>
          </w:tcPr>
          <w:p>
            <w:pPr>
              <w:spacing w:after="40" w:before="40" w:line="283" w:lineRule="auto"/>
            </w:pPr>
            <w:r>
              <w:t>若实际为多 VDN，全部话务事实表须增加 VDN 维，报表与权限须按 VDN 切分，且 CMS 各接口需按 vdnId 逐个轮询，接入作业的并发与配额估算随之改变。</w:t>
            </w:r>
            <w:r>
              <w:rPr>
                <w:rFonts w:ascii="微软雅黑" w:hAnsi="微软雅黑" w:eastAsia="微软雅黑"/>
                <w:b w:val="0"/>
                <w:sz w:val="16"/>
              </w:rPr>
            </w:r>
          </w:p>
        </w:tc>
        <w:tc>
          <w:tcPr>
            <w:tcW w:type="dxa" w:w="1701"/>
          </w:tcPr>
          <w:p>
            <w:pPr>
              <w:spacing w:after="40" w:before="40" w:line="283" w:lineRule="auto"/>
            </w:pPr>
            <w:r>
              <w:t>现场沟通（待书面确认）</w:t>
            </w:r>
            <w:r>
              <w:rPr>
                <w:rFonts w:ascii="微软雅黑" w:hAnsi="微软雅黑" w:eastAsia="微软雅黑"/>
                <w:b w:val="0"/>
                <w:sz w:val="16"/>
              </w:rPr>
            </w:r>
          </w:p>
          <w:p/>
          <w:p>
            <w:r>
              <w:t>REQ-ING-03 · REQ-RPT-06 · CN-21</w:t>
            </w:r>
          </w:p>
        </w:tc>
      </w:tr>
      <w:tr>
        <w:tc>
          <w:tcPr>
            <w:tcW w:type="dxa" w:w="1134"/>
          </w:tcPr>
          <w:p>
            <w:pPr>
              <w:spacing w:after="40" w:before="40" w:line="283" w:lineRule="auto"/>
            </w:pPr>
            <w:r>
              <w:t>AS-31</w:t>
            </w:r>
            <w:r>
              <w:rPr>
                <w:rFonts w:ascii="微软雅黑" w:hAnsi="微软雅黑" w:eastAsia="微软雅黑"/>
                <w:b w:val="0"/>
                <w:sz w:val="16"/>
              </w:rPr>
            </w:r>
          </w:p>
          <w:p/>
          <w:p>
            <w:r>
              <w:t>已确认</w:t>
            </w:r>
          </w:p>
        </w:tc>
        <w:tc>
          <w:tcPr>
            <w:tcW w:type="dxa" w:w="3515"/>
          </w:tcPr>
          <w:p>
            <w:pPr>
              <w:spacing w:after="40" w:before="40" w:line="283" w:lineRule="auto"/>
            </w:pPr>
            <w:r>
              <w:t>话务平台的坐席工号与自然人一一对应，不在班次之间复用；换班由接班人以本人工号重新登录。</w:t>
            </w:r>
            <w:r>
              <w:rPr>
                <w:rFonts w:ascii="微软雅黑" w:hAnsi="微软雅黑" w:eastAsia="微软雅黑"/>
                <w:b w:val="0"/>
                <w:sz w:val="16"/>
              </w:rPr>
            </w:r>
          </w:p>
          <w:p>
            <w:r>
              <w:t>【依据】现场沟通答复（2026-10）。</w:t>
            </w:r>
          </w:p>
        </w:tc>
        <w:tc>
          <w:tcPr>
            <w:tcW w:type="dxa" w:w="2494"/>
          </w:tcPr>
          <w:p>
            <w:pPr>
              <w:spacing w:after="40" w:before="40" w:line="283" w:lineRule="auto"/>
            </w:pPr>
            <w:r>
              <w:t>若工号可在班次间复用，话单中的 DEVICENO 便不足以归属到人，接警员维度须改为「工号 + 时间段」经排班表反查，绩效与质检的归属链路随之加长，且排班数据成为话务指标的必需输入——而排班已按 DD-53 确定为派生而非接入。</w:t>
            </w:r>
            <w:r>
              <w:rPr>
                <w:rFonts w:ascii="微软雅黑" w:hAnsi="微软雅黑" w:eastAsia="微软雅黑"/>
                <w:b w:val="0"/>
                <w:sz w:val="16"/>
              </w:rPr>
            </w:r>
          </w:p>
        </w:tc>
        <w:tc>
          <w:tcPr>
            <w:tcW w:type="dxa" w:w="1701"/>
          </w:tcPr>
          <w:p>
            <w:pPr>
              <w:spacing w:after="40" w:before="40" w:line="283" w:lineRule="auto"/>
            </w:pPr>
            <w:r>
              <w:t>现场沟通（待书面确认）</w:t>
            </w:r>
            <w:r>
              <w:rPr>
                <w:rFonts w:ascii="微软雅黑" w:hAnsi="微软雅黑" w:eastAsia="微软雅黑"/>
                <w:b w:val="0"/>
                <w:sz w:val="16"/>
              </w:rPr>
            </w:r>
          </w:p>
          <w:p/>
          <w:p>
            <w:r>
              <w:t>REQ-ING-03 · REQ-RPT-06 · REQ-GOV-02</w:t>
            </w:r>
          </w:p>
        </w:tc>
      </w:tr>
      <w:tr>
        <w:tc>
          <w:tcPr>
            <w:tcW w:type="dxa" w:w="1134"/>
          </w:tcPr>
          <w:p>
            <w:pPr>
              <w:spacing w:after="40" w:before="40" w:line="283" w:lineRule="auto"/>
            </w:pPr>
            <w:r>
              <w:t>AS-32</w:t>
              <w:br/>
              <w:br/>
              <w:t>待确认</w:t>
            </w:r>
          </w:p>
        </w:tc>
        <w:tc>
          <w:tcPr>
            <w:tcW w:type="dxa" w:w="3515"/>
          </w:tcPr>
          <w:p>
            <w:pPr>
              <w:spacing w:after="40" w:before="40" w:line="283" w:lineRule="auto"/>
            </w:pPr>
            <w:r>
              <w:t>开发与测试期间，ICP 的鉴权与话单下载接口由本方编写的假接口服务（test/fake_icp/）替代。它按接口文档实现相同的请求与响应、窗口上下限与「不支持并发」，并以确定性种子生成合成话单。接入程序按正常路径调用它，与调用真实接口的唯一差别是部署时注入的地址与账号；接入代码中不设「合成模式」分支。依据：开发机与 MOI 专网不通，手上没有真实话单样本。</w:t>
            </w:r>
          </w:p>
        </w:tc>
        <w:tc>
          <w:tcPr>
            <w:tcW w:type="dxa" w:w="2494"/>
          </w:tcPr>
          <w:p>
            <w:pPr>
              <w:spacing w:after="40" w:before="40" w:line="283" w:lineRule="auto"/>
            </w:pPr>
            <w:r>
              <w:t>假接口中凡照文档推测的行为（共 19 条，见 NOTES.md 2026-10-13 一节，核实结论回写契约 if03a（if03d 已有 integration_checks 段，if03a 须按同一格式增设该段后回写）），与真实平台不同者，联调时都须改接入程序。其中时区、窗口边界、单次返回是否静默截断、CALLID 的唯一范围四条不报错、只少数据或错位，联调时须逐条主动核实，不能以「跑通了」为准。合成数据只用于验证代码路径，不得用于性能结论或指标口径结论。</w:t>
            </w:r>
          </w:p>
        </w:tc>
        <w:tc>
          <w:tcPr>
            <w:tcW w:type="dxa" w:w="1701"/>
          </w:tcPr>
          <w:p>
            <w:pPr>
              <w:spacing w:after="40" w:before="40" w:line="283" w:lineRule="auto"/>
            </w:pPr>
            <w:r>
              <w:t>本方（开发）</w:t>
              <w:br/>
              <w:br/>
              <w:t>IR-45 · DD-82 · DD-84 · REQ-ING-03</w:t>
            </w:r>
          </w:p>
        </w:tc>
      </w:tr>
      <w:tr>
        <w:tc>
          <w:tcPr>
            <w:tcW w:type="dxa" w:w="1134"/>
          </w:tcPr>
          <w:p>
            <w:pPr>
              <w:spacing w:after="40" w:before="40" w:line="283" w:lineRule="auto"/>
            </w:pPr>
            <w:r>
              <w:t>AS-33</w:t>
              <w:br/>
              <w:br/>
              <w:t>待确认</w:t>
            </w:r>
          </w:p>
        </w:tc>
        <w:tc>
          <w:tcPr>
            <w:tcW w:type="dxa" w:w="3515"/>
          </w:tcPr>
          <w:p>
            <w:pPr>
              <w:spacing w:after="40" w:before="40" w:line="283" w:lineRule="auto"/>
            </w:pPr>
            <w:r>
              <w:t>同一 CALLID 内 CALLIDNUM 的编号稳定：一段通话一旦出现在接口中，其 CALLIDNUM 不再改变；-1 只出现一次且最后出现。 【依据】接口文档只写 1 为首、-1 为末，未写其余规律；本条与 CALLID 的唯一范围（IR-45 第五项）是两件事，分开登记。</w:t>
            </w:r>
          </w:p>
        </w:tc>
        <w:tc>
          <w:tcPr>
            <w:tcW w:type="dxa" w:w="2494"/>
          </w:tcPr>
          <w:p>
            <w:pPr>
              <w:spacing w:after="40" w:before="40" w:line="283" w:lineRule="auto"/>
            </w:pPr>
            <w:r>
              <w:t>若会改号，(CALLID, CALLIDNUM) 作幂等键会把同一段通话记成两段、或把两段合成一段；「通话是否结束」的判断（是否已见 -1）要改。已列入 ICP 问题单 Q21。</w:t>
            </w:r>
          </w:p>
        </w:tc>
        <w:tc>
          <w:tcPr>
            <w:tcW w:type="dxa" w:w="1701"/>
          </w:tcPr>
          <w:p>
            <w:pPr>
              <w:spacing w:after="40" w:before="40" w:line="283" w:lineRule="auto"/>
            </w:pPr>
            <w:r>
              <w:t>ICP 运维方 / 总包商</w:t>
              <w:br/>
              <w:br/>
              <w:t>IR-45 · DD-82 · if03a</w:t>
            </w:r>
          </w:p>
        </w:tc>
      </w:tr>
      <w:tr>
        <w:tc>
          <w:tcPr>
            <w:tcW w:type="dxa" w:w="1134"/>
          </w:tcPr>
          <w:p>
            <w:pPr>
              <w:spacing w:after="40" w:before="40" w:line="283" w:lineRule="auto"/>
            </w:pPr>
            <w:r>
              <w:t>AS-34</w:t>
              <w:br/>
              <w:br/>
              <w:t>待确认</w:t>
            </w:r>
          </w:p>
        </w:tc>
        <w:tc>
          <w:tcPr>
            <w:tcW w:type="dxa" w:w="3515"/>
          </w:tcPr>
          <w:p>
            <w:pPr>
              <w:spacing w:after="40" w:before="40" w:line="283" w:lineRule="auto"/>
            </w:pPr>
            <w:r>
              <w:t>同一段通话的内容不会 A → B → A 往复变化：字段一经补全（如 CALLEND）不再回退为空或改回旧值。 【依据】话单按通话进展单向补全是常理，文档未写。</w:t>
            </w:r>
          </w:p>
        </w:tc>
        <w:tc>
          <w:tcPr>
            <w:tcW w:type="dxa" w:w="2494"/>
          </w:tcPr>
          <w:p>
            <w:pPr>
              <w:spacing w:after="40" w:before="40" w:line="283" w:lineRule="auto"/>
            </w:pPr>
            <w:r>
              <w:t>raw 去重以（幂等键, content_hash）判定，往复变化时第三次观测 A 与第一次哈希相同而不落地，raw 少一次观测；core 取版本更大者，终态仍可能错。属源端行为假设，不是缺陷；若推翻，去重键须加观测时间。</w:t>
            </w:r>
          </w:p>
        </w:tc>
        <w:tc>
          <w:tcPr>
            <w:tcW w:type="dxa" w:w="1701"/>
          </w:tcPr>
          <w:p>
            <w:pPr>
              <w:spacing w:after="40" w:before="40" w:line="283" w:lineRule="auto"/>
            </w:pPr>
            <w:r>
              <w:t>ICP 运维方（联调实测）</w:t>
              <w:br/>
              <w:br/>
              <w:t>DD-82 · if03a</w:t>
            </w:r>
          </w:p>
        </w:tc>
      </w:tr>
      <w:tr>
        <w:tc>
          <w:tcPr>
            <w:tcW w:type="dxa" w:w="1134"/>
          </w:tcPr>
          <w:p>
            <w:pPr>
              <w:spacing w:after="40" w:before="40" w:line="283" w:lineRule="auto"/>
            </w:pPr>
            <w:r>
              <w:t>AS-35</w:t>
              <w:br/>
              <w:br/>
              <w:t>待确认</w:t>
            </w:r>
          </w:p>
        </w:tc>
        <w:tc>
          <w:tcPr>
            <w:tcW w:type="dxa" w:w="3515"/>
          </w:tcPr>
          <w:p>
            <w:pPr>
              <w:spacing w:after="40" w:before="40" w:line="283" w:lineRule="auto"/>
            </w:pPr>
            <w:r>
              <w:t>CAD 的 xzb / yzb 为 WGS84 经纬度（十进制度），textGeom / geomtext 同一坐标系。 【依据】DS 2026-10-25 答复「暂时只有经纬度，暂定为 WGS84」；zblx 目前为空。</w:t>
            </w:r>
          </w:p>
        </w:tc>
        <w:tc>
          <w:tcPr>
            <w:tcW w:type="dxa" w:w="2494"/>
          </w:tcPr>
          <w:p>
            <w:pPr>
              <w:spacing w:after="40" w:before="40" w:line="283" w:lineRule="auto"/>
            </w:pPr>
            <w:r>
              <w:t>若实为投影坐标或其他基准，空间分析与 HudHud 底图叠加整体偏移；若日后增加其他坐标类型而 zblx 仍为空，无法区分。接入时对经纬度做范围校验（麦加约 21.4°N、39.8°E）作为第一道防线。</w:t>
            </w:r>
          </w:p>
        </w:tc>
        <w:tc>
          <w:tcPr>
            <w:tcW w:type="dxa" w:w="1701"/>
          </w:tcPr>
          <w:p>
            <w:pPr>
              <w:spacing w:after="40" w:before="40" w:line="283" w:lineRule="auto"/>
            </w:pPr>
            <w:r>
              <w:t>DS / HudHud</w:t>
              <w:br/>
              <w:br/>
              <w:t>IR-50 · IR-41 · REQ-MOD-07</w:t>
            </w:r>
          </w:p>
        </w:tc>
      </w:tr>
    </w:tbl>
    <w:p>
      <w:pPr>
        <w:spacing w:before="0" w:after="140"/>
      </w:pPr>
    </w:p>
    <w:p>
      <w:r>
        <w:br w:type="page"/>
      </w:r>
    </w:p>
    <w:p>
      <w:pPr>
        <w:pStyle w:val="Heading1"/>
      </w:pPr>
      <w:r>
        <w:t>3  信息需求登记册</w:t>
      </w:r>
    </w:p>
    <w:p>
      <w:pPr>
        <w:spacing w:before="0" w:after="80"/>
      </w:pPr>
      <w:r>
        <w:rPr>
          <w:rFonts w:ascii="微软雅黑" w:hAnsi="微软雅黑" w:eastAsia="微软雅黑"/>
          <w:b w:val="0"/>
          <w:sz w:val="21"/>
        </w:rPr>
        <w:t>共 53 项（其中 IR-32 已关闭、IR-13 部分已答复）。紧急度为“高”的项目，其答复会改变设计选择、交付范围或承诺内容，应在设计冻结前取得。IR-47 至 IR-53 为 2026-10 新增，二者同在交付的关键路径上：答复未到之前，离网介质的组织方式不能定稿。</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474"/>
        <w:gridCol w:w="1134"/>
        <w:gridCol w:w="6123"/>
      </w:tblGrid>
      <w:tr>
        <w:trPr>
          <w:tblHeader/>
        </w:trPr>
        <w:tc>
          <w:tcPr>
            <w:tcW w:type="dxa" w:w="1474"/>
            <w:shd w:val="clear" w:fill="EEF2FD"/>
          </w:tcPr>
          <w:p>
            <w:pPr>
              <w:spacing w:after="40" w:before="40"/>
            </w:pPr>
            <w:r/>
            <w:r>
              <w:rPr>
                <w:rFonts w:ascii="微软雅黑" w:hAnsi="微软雅黑" w:eastAsia="微软雅黑"/>
                <w:b/>
                <w:color w:val="1E3A8A"/>
                <w:sz w:val="18"/>
              </w:rPr>
              <w:t>紧急度</w:t>
            </w:r>
          </w:p>
        </w:tc>
        <w:tc>
          <w:tcPr>
            <w:tcW w:type="dxa" w:w="1134"/>
            <w:shd w:val="clear" w:fill="EEF2FD"/>
          </w:tcPr>
          <w:p>
            <w:pPr>
              <w:spacing w:after="40" w:before="40"/>
            </w:pPr>
            <w:r/>
            <w:r>
              <w:rPr>
                <w:rFonts w:ascii="微软雅黑" w:hAnsi="微软雅黑" w:eastAsia="微软雅黑"/>
                <w:b/>
                <w:color w:val="1E3A8A"/>
                <w:sz w:val="18"/>
              </w:rPr>
              <w:t>项数</w:t>
            </w:r>
          </w:p>
        </w:tc>
        <w:tc>
          <w:tcPr>
            <w:tcW w:type="dxa" w:w="6123"/>
            <w:shd w:val="clear" w:fill="EEF2FD"/>
          </w:tcPr>
          <w:p>
            <w:pPr>
              <w:spacing w:after="40" w:before="40"/>
            </w:pPr>
            <w:r/>
            <w:r>
              <w:rPr>
                <w:rFonts w:ascii="微软雅黑" w:hAnsi="微软雅黑" w:eastAsia="微软雅黑"/>
                <w:b/>
                <w:color w:val="1E3A8A"/>
                <w:sz w:val="18"/>
              </w:rPr>
              <w:t>含义</w:t>
            </w:r>
          </w:p>
        </w:tc>
      </w:tr>
      <w:tr>
        <w:tc>
          <w:tcPr>
            <w:tcW w:type="dxa" w:w="1474"/>
          </w:tcPr>
          <w:p>
            <w:pPr>
              <w:spacing w:after="40" w:before="40" w:line="283" w:lineRule="auto"/>
            </w:pPr>
            <w:r/>
            <w:r>
              <w:rPr>
                <w:rFonts w:ascii="微软雅黑" w:hAnsi="微软雅黑" w:eastAsia="微软雅黑"/>
                <w:b w:val="0"/>
                <w:sz w:val="18"/>
              </w:rPr>
              <w:t>高</w:t>
            </w:r>
          </w:p>
        </w:tc>
        <w:tc>
          <w:tcPr>
            <w:tcW w:type="dxa" w:w="1134"/>
          </w:tcPr>
          <w:p>
            <w:pPr>
              <w:spacing w:after="40" w:before="40" w:line="283" w:lineRule="auto"/>
            </w:pPr>
            <w:r>
              <w:t>35</w:t>
            </w:r>
          </w:p>
        </w:tc>
        <w:tc>
          <w:tcPr>
            <w:tcW w:type="dxa" w:w="6123"/>
          </w:tcPr>
          <w:p>
            <w:pPr>
              <w:spacing w:after="40" w:before="40" w:line="283" w:lineRule="auto"/>
            </w:pPr>
            <w:r/>
            <w:r>
              <w:rPr>
                <w:rFonts w:ascii="微软雅黑" w:hAnsi="微软雅黑" w:eastAsia="微软雅黑"/>
                <w:b w:val="0"/>
                <w:sz w:val="18"/>
              </w:rPr>
              <w:t>答复会改变设计选择、交付范围或承诺内容</w:t>
            </w:r>
          </w:p>
        </w:tc>
      </w:tr>
      <w:tr>
        <w:tc>
          <w:tcPr>
            <w:tcW w:type="dxa" w:w="1474"/>
          </w:tcPr>
          <w:p>
            <w:pPr>
              <w:spacing w:after="40" w:before="40" w:line="283" w:lineRule="auto"/>
            </w:pPr>
            <w:r/>
            <w:r>
              <w:rPr>
                <w:rFonts w:ascii="微软雅黑" w:hAnsi="微软雅黑" w:eastAsia="微软雅黑"/>
                <w:b w:val="0"/>
                <w:sz w:val="18"/>
              </w:rPr>
              <w:t>中</w:t>
            </w:r>
          </w:p>
        </w:tc>
        <w:tc>
          <w:tcPr>
            <w:tcW w:type="dxa" w:w="1134"/>
          </w:tcPr>
          <w:p>
            <w:pPr>
              <w:spacing w:after="40" w:before="40" w:line="283" w:lineRule="auto"/>
            </w:pPr>
            <w:r>
              <w:t>12</w:t>
            </w:r>
          </w:p>
        </w:tc>
        <w:tc>
          <w:tcPr>
            <w:tcW w:type="dxa" w:w="6123"/>
          </w:tcPr>
          <w:p>
            <w:pPr>
              <w:spacing w:after="40" w:before="40" w:line="283" w:lineRule="auto"/>
            </w:pPr>
            <w:r/>
            <w:r>
              <w:rPr>
                <w:rFonts w:ascii="微软雅黑" w:hAnsi="微软雅黑" w:eastAsia="微软雅黑"/>
                <w:b w:val="0"/>
                <w:sz w:val="18"/>
              </w:rPr>
              <w:t>答复影响实现方式或工作量，但不改变架构</w:t>
            </w:r>
          </w:p>
        </w:tc>
      </w:tr>
      <w:tr>
        <w:tc>
          <w:tcPr>
            <w:tcW w:type="dxa" w:w="1474"/>
          </w:tcPr>
          <w:p>
            <w:pPr>
              <w:spacing w:after="40" w:before="40" w:line="283" w:lineRule="auto"/>
            </w:pPr>
            <w:r/>
            <w:r>
              <w:rPr>
                <w:rFonts w:ascii="微软雅黑" w:hAnsi="微软雅黑" w:eastAsia="微软雅黑"/>
                <w:b w:val="0"/>
                <w:sz w:val="18"/>
              </w:rPr>
              <w:t>低</w:t>
            </w:r>
          </w:p>
        </w:tc>
        <w:tc>
          <w:tcPr>
            <w:tcW w:type="dxa" w:w="1134"/>
          </w:tcPr>
          <w:p>
            <w:pPr>
              <w:spacing w:after="40" w:before="40" w:line="283" w:lineRule="auto"/>
            </w:pPr>
            <w:r>
              <w:t>1</w:t>
            </w:r>
          </w:p>
        </w:tc>
        <w:tc>
          <w:tcPr>
            <w:tcW w:type="dxa" w:w="6123"/>
          </w:tcPr>
          <w:p>
            <w:pPr>
              <w:spacing w:after="40" w:before="40" w:line="283" w:lineRule="auto"/>
            </w:pPr>
            <w:r/>
            <w:r>
              <w:rPr>
                <w:rFonts w:ascii="微软雅黑" w:hAnsi="微软雅黑" w:eastAsia="微软雅黑"/>
                <w:b w:val="0"/>
                <w:sz w:val="18"/>
              </w:rPr>
              <w:t>答复影响细节，可在实施期解决</w:t>
            </w:r>
          </w:p>
        </w:tc>
      </w:tr>
    </w:tbl>
    <w:p>
      <w:pPr>
        <w:spacing w:before="0" w:after="140"/>
      </w:pP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077"/>
        <w:gridCol w:w="2381"/>
        <w:gridCol w:w="1077"/>
        <w:gridCol w:w="2608"/>
        <w:gridCol w:w="1701"/>
      </w:tblGrid>
      <w:tr>
        <w:trPr>
          <w:tblHeader/>
        </w:trPr>
        <w:tc>
          <w:tcPr>
            <w:tcW w:type="dxa" w:w="1077"/>
            <w:shd w:val="clear" w:fill="EEF2FD"/>
          </w:tcPr>
          <w:p>
            <w:pPr>
              <w:spacing w:after="40" w:before="40"/>
            </w:pPr>
            <w:r/>
            <w:r>
              <w:rPr>
                <w:rFonts w:ascii="微软雅黑" w:hAnsi="微软雅黑" w:eastAsia="微软雅黑"/>
                <w:b/>
                <w:color w:val="1E3A8A"/>
                <w:sz w:val="18"/>
              </w:rPr>
              <w:t>编号 / 紧急度</w:t>
            </w:r>
          </w:p>
        </w:tc>
        <w:tc>
          <w:tcPr>
            <w:tcW w:type="dxa" w:w="2381"/>
            <w:shd w:val="clear" w:fill="EEF2FD"/>
          </w:tcPr>
          <w:p>
            <w:pPr>
              <w:spacing w:after="40" w:before="40"/>
            </w:pPr>
            <w:r/>
            <w:r>
              <w:rPr>
                <w:rFonts w:ascii="微软雅黑" w:hAnsi="微软雅黑" w:eastAsia="微软雅黑"/>
                <w:b/>
                <w:color w:val="1E3A8A"/>
                <w:sz w:val="18"/>
              </w:rPr>
              <w:t>需要的信息</w:t>
            </w:r>
          </w:p>
        </w:tc>
        <w:tc>
          <w:tcPr>
            <w:tcW w:type="dxa" w:w="1077"/>
            <w:shd w:val="clear" w:fill="EEF2FD"/>
          </w:tcPr>
          <w:p>
            <w:pPr>
              <w:spacing w:after="40" w:before="40"/>
            </w:pPr>
            <w:r/>
            <w:r>
              <w:rPr>
                <w:rFonts w:ascii="微软雅黑" w:hAnsi="微软雅黑" w:eastAsia="微软雅黑"/>
                <w:b/>
                <w:color w:val="1E3A8A"/>
                <w:sz w:val="18"/>
              </w:rPr>
              <w:t>向谁</w:t>
            </w:r>
          </w:p>
        </w:tc>
        <w:tc>
          <w:tcPr>
            <w:tcW w:type="dxa" w:w="2608"/>
            <w:shd w:val="clear" w:fill="EEF2FD"/>
          </w:tcPr>
          <w:p>
            <w:pPr>
              <w:spacing w:after="40" w:before="40"/>
            </w:pPr>
            <w:r/>
            <w:r>
              <w:rPr>
                <w:rFonts w:ascii="微软雅黑" w:hAnsi="微软雅黑" w:eastAsia="微软雅黑"/>
                <w:b/>
                <w:color w:val="1E3A8A"/>
                <w:sz w:val="18"/>
              </w:rPr>
              <w:t>用途 / 阻塞什么</w:t>
            </w:r>
          </w:p>
        </w:tc>
        <w:tc>
          <w:tcPr>
            <w:tcW w:type="dxa" w:w="1701"/>
            <w:shd w:val="clear" w:fill="EEF2FD"/>
          </w:tcPr>
          <w:p>
            <w:pPr>
              <w:spacing w:after="40" w:before="40"/>
            </w:pPr>
            <w:r/>
            <w:r>
              <w:rPr>
                <w:rFonts w:ascii="微软雅黑" w:hAnsi="微软雅黑" w:eastAsia="微软雅黑"/>
                <w:b/>
                <w:color w:val="1E3A8A"/>
                <w:sz w:val="18"/>
              </w:rPr>
              <w:t>建议的取得方式</w:t>
            </w:r>
          </w:p>
        </w:tc>
      </w:tr>
      <w:tr>
        <w:tc>
          <w:tcPr>
            <w:tcW w:type="dxa" w:w="1077"/>
          </w:tcPr>
          <w:p>
            <w:pPr>
              <w:spacing w:after="40" w:before="40" w:line="283" w:lineRule="auto"/>
            </w:pPr>
            <w:r/>
            <w:r>
              <w:rPr>
                <w:rFonts w:ascii="微软雅黑" w:hAnsi="微软雅黑" w:eastAsia="微软雅黑"/>
                <w:b w:val="0"/>
                <w:sz w:val="16"/>
              </w:rPr>
              <w:t>IR-01</w:t>
              <w:br/>
              <w:br/>
              <w:t>高</w:t>
            </w:r>
          </w:p>
        </w:tc>
        <w:tc>
          <w:tcPr>
            <w:tcW w:type="dxa" w:w="2381"/>
          </w:tcPr>
          <w:p>
            <w:pPr>
              <w:spacing w:after="40" w:before="40" w:line="283" w:lineRule="auto"/>
            </w:pPr>
            <w:r/>
            <w:r>
              <w:rPr>
                <w:rFonts w:ascii="微软雅黑" w:hAnsi="微软雅黑" w:eastAsia="微软雅黑"/>
                <w:b w:val="0"/>
                <w:sz w:val="16"/>
              </w:rPr>
              <w:t>在范围内的表与列清单、业务含义，以及全部代码与枚举字段的取值含义；另须逐项确认：单号在源系统内是否全局唯一且永不重用（是否按年重置），以及旧系统割接是否存在与 DS 并行的时段</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t>语义映射的输入。缺失将使映射进度不可预测。 单号若按年重置，core 的自然键须纳入年份，否则同源内部撞键；割接若有并行期，同一起警情会在归档库与 DS 中各得一个主键，须在 staging 增加以 DS 为准的合并规则（LD-02 第 4 章）。 ——【2026-10-13】CAD 数据视图结构说明已部分答复，未答部分并入 IR-50。</w:t>
            </w:r>
          </w:p>
        </w:tc>
        <w:tc>
          <w:tcPr>
            <w:tcW w:type="dxa" w:w="1701"/>
          </w:tcPr>
          <w:p>
            <w:pPr>
              <w:spacing w:after="40" w:before="40" w:line="283" w:lineRule="auto"/>
            </w:pPr>
            <w:r/>
            <w:r>
              <w:rPr>
                <w:rFonts w:ascii="微软雅黑" w:hAnsi="微软雅黑" w:eastAsia="微软雅黑"/>
                <w:b w:val="0"/>
                <w:sz w:val="16"/>
              </w:rPr>
              <w:t>要求以数据字典文件交付（Excel 或数据库注释导出）</w:t>
            </w:r>
          </w:p>
        </w:tc>
      </w:tr>
      <w:tr>
        <w:tc>
          <w:tcPr>
            <w:tcW w:type="dxa" w:w="1077"/>
          </w:tcPr>
          <w:p>
            <w:pPr>
              <w:spacing w:after="40" w:before="40" w:line="283" w:lineRule="auto"/>
            </w:pPr>
            <w:r/>
            <w:r>
              <w:rPr>
                <w:rFonts w:ascii="微软雅黑" w:hAnsi="微软雅黑" w:eastAsia="微软雅黑"/>
                <w:b w:val="0"/>
                <w:sz w:val="16"/>
              </w:rPr>
              <w:t>IR-02</w:t>
              <w:br/>
              <w:br/>
              <w:t>高</w:t>
            </w:r>
          </w:p>
        </w:tc>
        <w:tc>
          <w:tcPr>
            <w:tcW w:type="dxa" w:w="2381"/>
          </w:tcPr>
          <w:p>
            <w:pPr>
              <w:spacing w:after="40" w:before="40" w:line="283" w:lineRule="auto"/>
            </w:pPr>
            <w:r>
              <w:t>展示库增量接入的三项，逐项答复：一、水位线字段名，是否存在数据库侧单调递增序号；二、物理删除与原地更新的表达方式——是否有软删除标记，更新是否必定变更时间戳；三、能否提供逻辑复制（wal_level=logical、带 REPLICATION 属性的角色与建槽权限、由 DS 维护 PUBLICATION），若可行，展示库的 PostgreSQL 版本及其是否为物理备库。另需说明展示库是否存在整表重载式的 ETL 刷新</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t>增量机制的选择。只有时间戳时须加回看窗口。第二项是关键：若存在物理删除或不动时间戳的原地更新，水位轮询永远看不见这些变更，库内数据将与 CAD 长期不一致且不报错——此时必须靠 CDC 或滚动窗口校验补偿（DD-61）。第三项即便 DS 因运维风险拒绝，也需留下书面记录：客户答复中已有「新系统增量接入需具备 CDC 与 API 两种能力」一条，本方不提则形同回避。第四项若为整表重载，CDC 与水位轮询同时失效，两种方案都要改。 ——【2026-10-13】CAD 数据视图结构说明已部分答复，未答部分并入 IR-50。</w:t>
            </w:r>
          </w:p>
        </w:tc>
        <w:tc>
          <w:tcPr>
            <w:tcW w:type="dxa" w:w="1701"/>
          </w:tcPr>
          <w:p>
            <w:pPr>
              <w:spacing w:after="40" w:before="40" w:line="283" w:lineRule="auto"/>
            </w:pPr>
            <w:r>
              <w:t>接口文档中明确字段名与语义；第三项以书面答复形式保留，无论同意与否</w:t>
            </w:r>
          </w:p>
        </w:tc>
      </w:tr>
      <w:tr>
        <w:tc>
          <w:tcPr>
            <w:tcW w:type="dxa" w:w="1077"/>
          </w:tcPr>
          <w:p>
            <w:pPr>
              <w:spacing w:after="40" w:before="40" w:line="283" w:lineRule="auto"/>
            </w:pPr>
            <w:r/>
            <w:r>
              <w:rPr>
                <w:rFonts w:ascii="微软雅黑" w:hAnsi="微软雅黑" w:eastAsia="微软雅黑"/>
                <w:b w:val="0"/>
                <w:sz w:val="16"/>
              </w:rPr>
              <w:t>IR-03</w:t>
              <w:br/>
              <w:br/>
              <w:t>高</w:t>
            </w:r>
          </w:p>
        </w:tc>
        <w:tc>
          <w:tcPr>
            <w:tcW w:type="dxa" w:w="2381"/>
          </w:tcPr>
          <w:p>
            <w:pPr>
              <w:spacing w:after="40" w:before="40" w:line="283" w:lineRule="auto"/>
            </w:pPr>
            <w:r/>
            <w:r>
              <w:rPr>
                <w:rFonts w:ascii="微软雅黑" w:hAnsi="微软雅黑" w:eastAsia="微软雅黑"/>
                <w:b w:val="0"/>
                <w:sz w:val="16"/>
              </w:rPr>
              <w:t>删除与作废的表达方式：软删除标志字段，还是变更日志表</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r>
              <w:rPr>
                <w:rFonts w:ascii="微软雅黑" w:hAnsi="微软雅黑" w:eastAsia="微软雅黑"/>
                <w:b w:val="0"/>
                <w:sz w:val="16"/>
              </w:rPr>
              <w:t>历史统计与 CAD 自身的一致性。物理删除将导致差异永久无法解释。</w:t>
            </w:r>
          </w:p>
        </w:tc>
        <w:tc>
          <w:tcPr>
            <w:tcW w:type="dxa" w:w="1701"/>
          </w:tcPr>
          <w:p>
            <w:pPr>
              <w:spacing w:after="40" w:before="40" w:line="283" w:lineRule="auto"/>
            </w:pPr>
            <w:r/>
            <w:r>
              <w:rPr>
                <w:rFonts w:ascii="微软雅黑" w:hAnsi="微软雅黑" w:eastAsia="微软雅黑"/>
                <w:b w:val="0"/>
                <w:sz w:val="16"/>
              </w:rPr>
              <w:t>接口文档中明确</w:t>
            </w:r>
          </w:p>
        </w:tc>
      </w:tr>
      <w:tr>
        <w:tc>
          <w:tcPr>
            <w:tcW w:type="dxa" w:w="1077"/>
          </w:tcPr>
          <w:p>
            <w:pPr>
              <w:spacing w:after="40" w:before="40" w:line="283" w:lineRule="auto"/>
            </w:pPr>
            <w:r/>
            <w:r>
              <w:rPr>
                <w:rFonts w:ascii="微软雅黑" w:hAnsi="微软雅黑" w:eastAsia="微软雅黑"/>
                <w:b w:val="0"/>
                <w:sz w:val="16"/>
              </w:rPr>
              <w:t>IR-04</w:t>
              <w:br/>
              <w:br/>
              <w:t>高</w:t>
            </w:r>
          </w:p>
        </w:tc>
        <w:tc>
          <w:tcPr>
            <w:tcW w:type="dxa" w:w="2381"/>
          </w:tcPr>
          <w:p>
            <w:pPr>
              <w:spacing w:after="40" w:before="40" w:line="283" w:lineRule="auto"/>
            </w:pPr>
            <w:r/>
            <w:r>
              <w:rPr>
                <w:rFonts w:ascii="微软雅黑" w:hAnsi="微软雅黑" w:eastAsia="微软雅黑"/>
                <w:b w:val="0"/>
                <w:sz w:val="16"/>
              </w:rPr>
              <w:t>展示库的可重放窗口：历史数据保留多少天</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r>
              <w:rPr>
                <w:rFonts w:ascii="微软雅黑" w:hAnsi="微软雅黑" w:eastAsia="微软雅黑"/>
                <w:b w:val="0"/>
                <w:sz w:val="16"/>
              </w:rPr>
              <w:t>口径修正与故障恢复的追溯范围。建议不少于三十天。</w:t>
            </w:r>
          </w:p>
        </w:tc>
        <w:tc>
          <w:tcPr>
            <w:tcW w:type="dxa" w:w="1701"/>
          </w:tcPr>
          <w:p>
            <w:pPr>
              <w:spacing w:after="40" w:before="40" w:line="283" w:lineRule="auto"/>
            </w:pPr>
            <w:r/>
            <w:r>
              <w:rPr>
                <w:rFonts w:ascii="微软雅黑" w:hAnsi="微软雅黑" w:eastAsia="微软雅黑"/>
                <w:b w:val="0"/>
                <w:sz w:val="16"/>
              </w:rPr>
              <w:t>接口文档中明确</w:t>
            </w:r>
          </w:p>
        </w:tc>
      </w:tr>
      <w:tr>
        <w:tc>
          <w:tcPr>
            <w:tcW w:type="dxa" w:w="1077"/>
          </w:tcPr>
          <w:p>
            <w:pPr>
              <w:spacing w:after="40" w:before="40" w:line="283" w:lineRule="auto"/>
            </w:pPr>
            <w:r/>
            <w:r>
              <w:rPr>
                <w:rFonts w:ascii="微软雅黑" w:hAnsi="微软雅黑" w:eastAsia="微软雅黑"/>
                <w:b w:val="0"/>
                <w:sz w:val="16"/>
              </w:rPr>
              <w:t>IR-05</w:t>
              <w:br/>
              <w:br/>
              <w:t>中</w:t>
            </w:r>
          </w:p>
        </w:tc>
        <w:tc>
          <w:tcPr>
            <w:tcW w:type="dxa" w:w="2381"/>
          </w:tcPr>
          <w:p>
            <w:pPr>
              <w:spacing w:after="40" w:before="40" w:line="283" w:lineRule="auto"/>
            </w:pPr>
            <w:r/>
            <w:r>
              <w:rPr>
                <w:rFonts w:ascii="微软雅黑" w:hAnsi="微软雅黑" w:eastAsia="微软雅黑"/>
                <w:b w:val="0"/>
                <w:sz w:val="16"/>
              </w:rPr>
              <w:t>结构变更的通知承诺与提前期</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r>
              <w:rPr>
                <w:rFonts w:ascii="微软雅黑" w:hAnsi="微软雅黑" w:eastAsia="微软雅黑"/>
                <w:b w:val="0"/>
                <w:sz w:val="16"/>
              </w:rPr>
              <w:t>避免升级后静默出错。本方另有 DDL 比对兜底，但书面承诺应有。</w:t>
            </w:r>
          </w:p>
        </w:tc>
        <w:tc>
          <w:tcPr>
            <w:tcW w:type="dxa" w:w="1701"/>
          </w:tcPr>
          <w:p>
            <w:pPr>
              <w:spacing w:after="40" w:before="40" w:line="283" w:lineRule="auto"/>
            </w:pPr>
            <w:r/>
            <w:r>
              <w:rPr>
                <w:rFonts w:ascii="微软雅黑" w:hAnsi="微软雅黑" w:eastAsia="微软雅黑"/>
                <w:b w:val="0"/>
                <w:sz w:val="16"/>
              </w:rPr>
              <w:t>接口协议条款</w:t>
            </w:r>
          </w:p>
        </w:tc>
      </w:tr>
      <w:tr>
        <w:tc>
          <w:tcPr>
            <w:tcW w:type="dxa" w:w="1077"/>
          </w:tcPr>
          <w:p>
            <w:pPr>
              <w:spacing w:after="40" w:before="40" w:line="283" w:lineRule="auto"/>
            </w:pPr>
            <w:r/>
            <w:r>
              <w:rPr>
                <w:rFonts w:ascii="微软雅黑" w:hAnsi="微软雅黑" w:eastAsia="微软雅黑"/>
                <w:b w:val="0"/>
                <w:sz w:val="16"/>
              </w:rPr>
              <w:t>IR-06</w:t>
              <w:br/>
              <w:br/>
              <w:t>中</w:t>
            </w:r>
          </w:p>
        </w:tc>
        <w:tc>
          <w:tcPr>
            <w:tcW w:type="dxa" w:w="2381"/>
          </w:tcPr>
          <w:p>
            <w:pPr>
              <w:spacing w:after="40" w:before="40" w:line="283" w:lineRule="auto"/>
            </w:pPr>
            <w:r/>
            <w:r>
              <w:rPr>
                <w:rFonts w:ascii="微软雅黑" w:hAnsi="微软雅黑" w:eastAsia="微软雅黑"/>
                <w:b w:val="0"/>
                <w:sz w:val="16"/>
              </w:rPr>
              <w:t>只读账号、连接数上限、可接受的查询负载与时段</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r>
              <w:rPr>
                <w:rFonts w:ascii="微软雅黑" w:hAnsi="微软雅黑" w:eastAsia="微软雅黑"/>
                <w:b w:val="0"/>
                <w:sz w:val="16"/>
              </w:rPr>
              <w:t>连接池与轮询频率的配置。</w:t>
            </w:r>
          </w:p>
        </w:tc>
        <w:tc>
          <w:tcPr>
            <w:tcW w:type="dxa" w:w="1701"/>
          </w:tcPr>
          <w:p>
            <w:pPr>
              <w:spacing w:after="40" w:before="40" w:line="283" w:lineRule="auto"/>
            </w:pPr>
            <w:r/>
            <w:r>
              <w:rPr>
                <w:rFonts w:ascii="微软雅黑" w:hAnsi="微软雅黑" w:eastAsia="微软雅黑"/>
                <w:b w:val="0"/>
                <w:sz w:val="16"/>
              </w:rPr>
              <w:t>接口协议条款</w:t>
            </w:r>
          </w:p>
        </w:tc>
      </w:tr>
      <w:tr>
        <w:tc>
          <w:tcPr>
            <w:tcW w:type="dxa" w:w="1077"/>
          </w:tcPr>
          <w:p>
            <w:pPr>
              <w:spacing w:after="40" w:before="40" w:line="283" w:lineRule="auto"/>
            </w:pPr>
            <w:r/>
            <w:r>
              <w:rPr>
                <w:rFonts w:ascii="微软雅黑" w:hAnsi="微软雅黑" w:eastAsia="微软雅黑"/>
                <w:b w:val="0"/>
                <w:sz w:val="16"/>
              </w:rPr>
              <w:t>IR-07</w:t>
              <w:br/>
              <w:br/>
              <w:t>中</w:t>
            </w:r>
          </w:p>
        </w:tc>
        <w:tc>
          <w:tcPr>
            <w:tcW w:type="dxa" w:w="2381"/>
          </w:tcPr>
          <w:p>
            <w:pPr>
              <w:spacing w:after="40" w:before="40" w:line="283" w:lineRule="auto"/>
            </w:pPr>
            <w:r/>
            <w:r>
              <w:rPr>
                <w:rFonts w:ascii="微软雅黑" w:hAnsi="微软雅黑" w:eastAsia="微软雅黑"/>
                <w:b w:val="0"/>
                <w:sz w:val="16"/>
              </w:rPr>
              <w:t>CAD 维度表（警情类别、单位、辖区）是否具备双语名称字段</w:t>
            </w:r>
          </w:p>
        </w:tc>
        <w:tc>
          <w:tcPr>
            <w:tcW w:type="dxa" w:w="1077"/>
          </w:tcPr>
          <w:p>
            <w:pPr>
              <w:spacing w:after="40" w:before="40" w:line="283" w:lineRule="auto"/>
            </w:pPr>
            <w:r/>
            <w:r>
              <w:rPr>
                <w:rFonts w:ascii="微软雅黑" w:hAnsi="微软雅黑" w:eastAsia="微软雅黑"/>
                <w:b w:val="0"/>
                <w:sz w:val="16"/>
              </w:rPr>
              <w:t>DS</w:t>
            </w:r>
          </w:p>
        </w:tc>
        <w:tc>
          <w:tcPr>
            <w:tcW w:type="dxa" w:w="2608"/>
          </w:tcPr>
          <w:p>
            <w:pPr>
              <w:spacing w:after="40" w:before="40" w:line="283" w:lineRule="auto"/>
            </w:pPr>
            <w:r/>
            <w:r>
              <w:rPr>
                <w:rFonts w:ascii="微软雅黑" w:hAnsi="微软雅黑" w:eastAsia="微软雅黑"/>
                <w:b w:val="0"/>
                <w:sz w:val="16"/>
              </w:rPr>
              <w:t>阿语报表中是否会混入英文数据。若无，本方须维护双语对照表（新增工作量）。</w:t>
            </w:r>
          </w:p>
        </w:tc>
        <w:tc>
          <w:tcPr>
            <w:tcW w:type="dxa" w:w="1701"/>
          </w:tcPr>
          <w:p>
            <w:pPr>
              <w:spacing w:after="40" w:before="40" w:line="283" w:lineRule="auto"/>
            </w:pPr>
            <w:r/>
            <w:r>
              <w:rPr>
                <w:rFonts w:ascii="微软雅黑" w:hAnsi="微软雅黑" w:eastAsia="微软雅黑"/>
                <w:b w:val="0"/>
                <w:sz w:val="16"/>
              </w:rPr>
              <w:t>数据字典中体现</w:t>
            </w:r>
          </w:p>
        </w:tc>
      </w:tr>
      <w:tr>
        <w:tc>
          <w:tcPr>
            <w:tcW w:type="dxa" w:w="1077"/>
          </w:tcPr>
          <w:p>
            <w:pPr>
              <w:spacing w:after="40" w:before="40" w:line="283" w:lineRule="auto"/>
            </w:pPr>
            <w:r/>
            <w:r>
              <w:rPr>
                <w:rFonts w:ascii="微软雅黑" w:hAnsi="微软雅黑" w:eastAsia="微软雅黑"/>
                <w:b w:val="0"/>
                <w:sz w:val="16"/>
              </w:rPr>
              <w:t>IR-08</w:t>
              <w:br/>
              <w:br/>
              <w:t>高</w:t>
            </w:r>
          </w:p>
        </w:tc>
        <w:tc>
          <w:tcPr>
            <w:tcW w:type="dxa" w:w="2381"/>
          </w:tcPr>
          <w:p>
            <w:pPr>
              <w:spacing w:after="40" w:before="40" w:line="283" w:lineRule="auto"/>
            </w:pPr>
            <w:r/>
            <w:r>
              <w:rPr>
                <w:rFonts w:ascii="微软雅黑" w:hAnsi="微软雅黑" w:eastAsia="微软雅黑"/>
                <w:b w:val="0"/>
                <w:sz w:val="16"/>
              </w:rPr>
              <w:t>ICP 接口文档</w:t>
            </w:r>
          </w:p>
        </w:tc>
        <w:tc>
          <w:tcPr>
            <w:tcW w:type="dxa" w:w="1077"/>
          </w:tcPr>
          <w:p>
            <w:pPr>
              <w:spacing w:after="40" w:before="40" w:line="283" w:lineRule="auto"/>
            </w:pPr>
            <w:r/>
            <w:r>
              <w:rPr>
                <w:rFonts w:ascii="微软雅黑" w:hAnsi="微软雅黑" w:eastAsia="微软雅黑"/>
                <w:b w:val="0"/>
                <w:sz w:val="16"/>
              </w:rPr>
              <w:t>ICP / 华为</w:t>
            </w:r>
          </w:p>
        </w:tc>
        <w:tc>
          <w:tcPr>
            <w:tcW w:type="dxa" w:w="2608"/>
          </w:tcPr>
          <w:p>
            <w:pPr>
              <w:spacing w:after="40" w:before="40" w:line="283" w:lineRule="auto"/>
            </w:pPr>
            <w:r/>
            <w:r>
              <w:rPr>
                <w:rFonts w:ascii="微软雅黑" w:hAnsi="微软雅黑" w:eastAsia="微软雅黑"/>
                <w:b w:val="0"/>
                <w:sz w:val="16"/>
              </w:rPr>
              <w:t>话务数据接入方案的定型。当前按两种形态分别设计以规避返工。</w:t>
            </w:r>
          </w:p>
        </w:tc>
        <w:tc>
          <w:tcPr>
            <w:tcW w:type="dxa" w:w="1701"/>
          </w:tcPr>
          <w:p>
            <w:pPr>
              <w:spacing w:after="40" w:before="40" w:line="283" w:lineRule="auto"/>
            </w:pPr>
            <w:r/>
            <w:r>
              <w:rPr>
                <w:rFonts w:ascii="微软雅黑" w:hAnsi="微软雅黑" w:eastAsia="微软雅黑"/>
                <w:b w:val="0"/>
                <w:sz w:val="16"/>
              </w:rPr>
              <w:t>完整接口文档</w:t>
            </w:r>
          </w:p>
        </w:tc>
      </w:tr>
      <w:tr>
        <w:tc>
          <w:tcPr>
            <w:tcW w:type="dxa" w:w="1077"/>
          </w:tcPr>
          <w:p>
            <w:pPr>
              <w:spacing w:after="40" w:before="40" w:line="283" w:lineRule="auto"/>
            </w:pPr>
            <w:r/>
            <w:r>
              <w:rPr>
                <w:rFonts w:ascii="微软雅黑" w:hAnsi="微软雅黑" w:eastAsia="微软雅黑"/>
                <w:b w:val="0"/>
                <w:sz w:val="16"/>
              </w:rPr>
              <w:t>IR-09</w:t>
              <w:br/>
              <w:br/>
              <w:t>高</w:t>
            </w:r>
          </w:p>
        </w:tc>
        <w:tc>
          <w:tcPr>
            <w:tcW w:type="dxa" w:w="2381"/>
          </w:tcPr>
          <w:p>
            <w:pPr>
              <w:spacing w:after="40" w:before="40" w:line="283" w:lineRule="auto"/>
            </w:pPr>
            <w:r/>
            <w:r>
              <w:rPr>
                <w:rFonts w:ascii="微软雅黑" w:hAnsi="微软雅黑" w:eastAsia="微软雅黑"/>
                <w:b w:val="0"/>
                <w:sz w:val="16"/>
              </w:rPr>
              <w:t>ICP 是否提供历史事件接口，或仅提供当前状态快照</w:t>
            </w:r>
          </w:p>
        </w:tc>
        <w:tc>
          <w:tcPr>
            <w:tcW w:type="dxa" w:w="1077"/>
          </w:tcPr>
          <w:p>
            <w:pPr>
              <w:spacing w:after="40" w:before="40" w:line="283" w:lineRule="auto"/>
            </w:pPr>
            <w:r/>
            <w:r>
              <w:rPr>
                <w:rFonts w:ascii="微软雅黑" w:hAnsi="微软雅黑" w:eastAsia="微软雅黑"/>
                <w:b w:val="0"/>
                <w:sz w:val="16"/>
              </w:rPr>
              <w:t>ICP / 华为</w:t>
            </w:r>
          </w:p>
        </w:tc>
        <w:tc>
          <w:tcPr>
            <w:tcW w:type="dxa" w:w="2608"/>
          </w:tcPr>
          <w:p>
            <w:pPr>
              <w:spacing w:after="40" w:before="40" w:line="283" w:lineRule="auto"/>
            </w:pPr>
            <w:r/>
            <w:r>
              <w:rPr>
                <w:rFonts w:ascii="微软雅黑" w:hAnsi="微软雅黑" w:eastAsia="微软雅黑"/>
                <w:b w:val="0"/>
                <w:sz w:val="16"/>
              </w:rPr>
              <w:t>坐席状态时长类指标的精度上限。仅快照时精度被轮询周期锁死。</w:t>
            </w:r>
          </w:p>
        </w:tc>
        <w:tc>
          <w:tcPr>
            <w:tcW w:type="dxa" w:w="1701"/>
          </w:tcPr>
          <w:p>
            <w:pPr>
              <w:spacing w:after="40" w:before="40" w:line="283" w:lineRule="auto"/>
            </w:pPr>
            <w:r/>
            <w:r>
              <w:rPr>
                <w:rFonts w:ascii="微软雅黑" w:hAnsi="微软雅黑" w:eastAsia="微软雅黑"/>
                <w:b w:val="0"/>
                <w:sz w:val="16"/>
              </w:rPr>
              <w:t>接口文档中明确</w:t>
            </w:r>
          </w:p>
        </w:tc>
      </w:tr>
      <w:tr>
        <w:tc>
          <w:tcPr>
            <w:tcW w:type="dxa" w:w="1077"/>
          </w:tcPr>
          <w:p>
            <w:pPr>
              <w:spacing w:after="40" w:before="40" w:line="283" w:lineRule="auto"/>
            </w:pPr>
            <w:r/>
            <w:r>
              <w:rPr>
                <w:rFonts w:ascii="微软雅黑" w:hAnsi="微软雅黑" w:eastAsia="微软雅黑"/>
                <w:b w:val="0"/>
                <w:sz w:val="16"/>
              </w:rPr>
              <w:t>IR-10</w:t>
              <w:br/>
              <w:br/>
              <w:t>中</w:t>
            </w:r>
          </w:p>
        </w:tc>
        <w:tc>
          <w:tcPr>
            <w:tcW w:type="dxa" w:w="2381"/>
          </w:tcPr>
          <w:p>
            <w:pPr>
              <w:spacing w:after="40" w:before="40" w:line="283" w:lineRule="auto"/>
            </w:pPr>
            <w:r/>
            <w:r>
              <w:rPr>
                <w:rFonts w:ascii="微软雅黑" w:hAnsi="微软雅黑" w:eastAsia="微软雅黑"/>
                <w:b w:val="0"/>
                <w:sz w:val="16"/>
              </w:rPr>
              <w:t>ICP 的限流、分页与鉴权方式</w:t>
            </w:r>
          </w:p>
        </w:tc>
        <w:tc>
          <w:tcPr>
            <w:tcW w:type="dxa" w:w="1077"/>
          </w:tcPr>
          <w:p>
            <w:pPr>
              <w:spacing w:after="40" w:before="40" w:line="283" w:lineRule="auto"/>
            </w:pPr>
            <w:r/>
            <w:r>
              <w:rPr>
                <w:rFonts w:ascii="微软雅黑" w:hAnsi="微软雅黑" w:eastAsia="微软雅黑"/>
                <w:b w:val="0"/>
                <w:sz w:val="16"/>
              </w:rPr>
              <w:t>ICP / 华为</w:t>
            </w:r>
          </w:p>
        </w:tc>
        <w:tc>
          <w:tcPr>
            <w:tcW w:type="dxa" w:w="2608"/>
          </w:tcPr>
          <w:p>
            <w:pPr>
              <w:spacing w:after="40" w:before="40" w:line="283" w:lineRule="auto"/>
            </w:pPr>
            <w:r/>
            <w:r>
              <w:rPr>
                <w:rFonts w:ascii="微软雅黑" w:hAnsi="微软雅黑" w:eastAsia="微软雅黑"/>
                <w:b w:val="0"/>
                <w:sz w:val="16"/>
              </w:rPr>
              <w:t>连接器配置与轮询频率上限。</w:t>
            </w:r>
          </w:p>
        </w:tc>
        <w:tc>
          <w:tcPr>
            <w:tcW w:type="dxa" w:w="1701"/>
          </w:tcPr>
          <w:p>
            <w:pPr>
              <w:spacing w:after="40" w:before="40" w:line="283" w:lineRule="auto"/>
            </w:pPr>
            <w:r/>
            <w:r>
              <w:rPr>
                <w:rFonts w:ascii="微软雅黑" w:hAnsi="微软雅黑" w:eastAsia="微软雅黑"/>
                <w:b w:val="0"/>
                <w:sz w:val="16"/>
              </w:rPr>
              <w:t>接口文档中明确</w:t>
            </w:r>
          </w:p>
        </w:tc>
      </w:tr>
      <w:tr>
        <w:tc>
          <w:tcPr>
            <w:tcW w:type="dxa" w:w="1077"/>
          </w:tcPr>
          <w:p>
            <w:pPr>
              <w:spacing w:after="40" w:before="40" w:line="283" w:lineRule="auto"/>
            </w:pPr>
            <w:r/>
            <w:r>
              <w:rPr>
                <w:rFonts w:ascii="微软雅黑" w:hAnsi="微软雅黑" w:eastAsia="微软雅黑"/>
                <w:b w:val="0"/>
                <w:sz w:val="16"/>
              </w:rPr>
              <w:t>IR-11</w:t>
              <w:br/>
              <w:br/>
              <w:t>高</w:t>
            </w:r>
          </w:p>
        </w:tc>
        <w:tc>
          <w:tcPr>
            <w:tcW w:type="dxa" w:w="2381"/>
          </w:tcPr>
          <w:p>
            <w:pPr>
              <w:spacing w:after="40" w:before="40" w:line="283" w:lineRule="auto"/>
            </w:pPr>
            <w:r/>
            <w:r>
              <w:rPr>
                <w:rFonts w:ascii="微软雅黑" w:hAnsi="微软雅黑" w:eastAsia="微软雅黑"/>
                <w:b w:val="0"/>
                <w:sz w:val="16"/>
              </w:rPr>
              <w:t>ICP 能否提供振铃次数、呈现与处理数、挂断方、同一主叫失败历史、未接/转接/骚扰呼叫的明细</w:t>
            </w:r>
          </w:p>
        </w:tc>
        <w:tc>
          <w:tcPr>
            <w:tcW w:type="dxa" w:w="1077"/>
          </w:tcPr>
          <w:p>
            <w:pPr>
              <w:spacing w:after="40" w:before="40" w:line="283" w:lineRule="auto"/>
            </w:pPr>
            <w:r/>
            <w:r>
              <w:rPr>
                <w:rFonts w:ascii="微软雅黑" w:hAnsi="微软雅黑" w:eastAsia="微软雅黑"/>
                <w:b w:val="0"/>
                <w:sz w:val="16"/>
              </w:rPr>
              <w:t>ICP / 华为</w:t>
            </w:r>
          </w:p>
        </w:tc>
        <w:tc>
          <w:tcPr>
            <w:tcW w:type="dxa" w:w="2608"/>
          </w:tcPr>
          <w:p>
            <w:pPr>
              <w:spacing w:after="40" w:before="40" w:line="283" w:lineRule="auto"/>
            </w:pPr>
            <w:r/>
            <w:r>
              <w:rPr>
                <w:rFonts w:ascii="微软雅黑" w:hAnsi="微软雅黑" w:eastAsia="微软雅黑"/>
                <w:b w:val="0"/>
                <w:sz w:val="16"/>
              </w:rPr>
              <w:t>直接决定 RFP 1.6.2.20.1 至 .5 五类指标能否交付。这是最应优先问清的一项。</w:t>
            </w:r>
          </w:p>
        </w:tc>
        <w:tc>
          <w:tcPr>
            <w:tcW w:type="dxa" w:w="1701"/>
          </w:tcPr>
          <w:p>
            <w:pPr>
              <w:spacing w:after="40" w:before="40" w:line="283" w:lineRule="auto"/>
            </w:pPr>
            <w:r/>
            <w:r>
              <w:rPr>
                <w:rFonts w:ascii="微软雅黑" w:hAnsi="微软雅黑" w:eastAsia="微软雅黑"/>
                <w:b w:val="0"/>
                <w:sz w:val="16"/>
              </w:rPr>
              <w:t>逐项列出五类指标并要求逐项答复能否提供、以何字段提供</w:t>
            </w:r>
          </w:p>
        </w:tc>
      </w:tr>
      <w:tr>
        <w:tc>
          <w:tcPr>
            <w:tcW w:type="dxa" w:w="1077"/>
          </w:tcPr>
          <w:p>
            <w:pPr>
              <w:spacing w:after="40" w:before="40" w:line="283" w:lineRule="auto"/>
            </w:pPr>
            <w:r/>
            <w:r>
              <w:rPr>
                <w:rFonts w:ascii="微软雅黑" w:hAnsi="微软雅黑" w:eastAsia="微软雅黑"/>
                <w:b w:val="0"/>
                <w:sz w:val="16"/>
              </w:rPr>
              <w:t>IR-12</w:t>
              <w:br/>
              <w:br/>
              <w:t>高</w:t>
            </w:r>
          </w:p>
        </w:tc>
        <w:tc>
          <w:tcPr>
            <w:tcW w:type="dxa" w:w="2381"/>
          </w:tcPr>
          <w:p>
            <w:pPr>
              <w:spacing w:after="40" w:before="40" w:line="283" w:lineRule="auto"/>
            </w:pPr>
            <w:r/>
            <w:r>
              <w:rPr>
                <w:rFonts w:ascii="微软雅黑" w:hAnsi="微软雅黑" w:eastAsia="微软雅黑"/>
                <w:b w:val="0"/>
                <w:sz w:val="16"/>
              </w:rPr>
              <w:t>Hexagon 系统的历史升级记录与各版本 schema</w:t>
            </w:r>
          </w:p>
        </w:tc>
        <w:tc>
          <w:tcPr>
            <w:tcW w:type="dxa" w:w="1077"/>
          </w:tcPr>
          <w:p>
            <w:pPr>
              <w:spacing w:after="40" w:before="40" w:line="283" w:lineRule="auto"/>
            </w:pPr>
            <w:r/>
            <w:r>
              <w:rPr>
                <w:rFonts w:ascii="微软雅黑" w:hAnsi="微软雅黑" w:eastAsia="微软雅黑"/>
                <w:b w:val="0"/>
                <w:sz w:val="16"/>
              </w:rPr>
              <w:t>MOI / 现有运维方</w:t>
            </w:r>
          </w:p>
        </w:tc>
        <w:tc>
          <w:tcPr>
            <w:tcW w:type="dxa" w:w="2608"/>
          </w:tcPr>
          <w:p>
            <w:pPr>
              <w:spacing w:after="40" w:before="40" w:line="283" w:lineRule="auto"/>
            </w:pPr>
            <w:r/>
            <w:r>
              <w:rPr>
                <w:rFonts w:ascii="微软雅黑" w:hAnsi="微软雅黑" w:eastAsia="微软雅黑"/>
                <w:b w:val="0"/>
                <w:sz w:val="16"/>
              </w:rPr>
              <w:t>多版本 schema 归一化（RFP 2.7.7.9）的输入。</w:t>
            </w:r>
          </w:p>
        </w:tc>
        <w:tc>
          <w:tcPr>
            <w:tcW w:type="dxa" w:w="1701"/>
          </w:tcPr>
          <w:p>
            <w:pPr>
              <w:spacing w:after="40" w:before="40" w:line="283" w:lineRule="auto"/>
            </w:pPr>
            <w:r/>
            <w:r>
              <w:rPr>
                <w:rFonts w:ascii="微软雅黑" w:hAnsi="微软雅黑" w:eastAsia="微软雅黑"/>
                <w:b w:val="0"/>
                <w:sz w:val="16"/>
              </w:rPr>
              <w:t>升级记录与各版本结构导出</w:t>
            </w:r>
          </w:p>
        </w:tc>
      </w:tr>
      <w:tr>
        <w:tc>
          <w:tcPr>
            <w:tcW w:type="dxa" w:w="1077"/>
          </w:tcPr>
          <w:p>
            <w:pPr>
              <w:spacing w:after="40" w:before="40" w:line="283" w:lineRule="auto"/>
            </w:pPr>
            <w:r/>
            <w:r>
              <w:rPr>
                <w:rFonts w:ascii="微软雅黑" w:hAnsi="微软雅黑" w:eastAsia="微软雅黑"/>
                <w:b w:val="0"/>
                <w:sz w:val="16"/>
              </w:rPr>
              <w:t>IR-13</w:t>
              <w:br/>
              <w:br/>
              <w:t>部分已答复</w:t>
            </w:r>
          </w:p>
        </w:tc>
        <w:tc>
          <w:tcPr>
            <w:tcW w:type="dxa" w:w="2381"/>
          </w:tcPr>
          <w:p>
            <w:pPr>
              <w:spacing w:after="40" w:before="40" w:line="283" w:lineRule="auto"/>
            </w:pPr>
            <w:r/>
            <w:r>
              <w:rPr>
                <w:rFonts w:ascii="微软雅黑" w:hAnsi="微软雅黑" w:eastAsia="微软雅黑"/>
                <w:b w:val="0"/>
                <w:sz w:val="16"/>
              </w:rPr>
              <w:t>迁移起始年份已确认为 2016 年。剩余待取得：迁移验收的参照报表，以及对账差异的处置与签署流程</w:t>
            </w:r>
          </w:p>
        </w:tc>
        <w:tc>
          <w:tcPr>
            <w:tcW w:type="dxa" w:w="1077"/>
          </w:tcPr>
          <w:p>
            <w:pPr>
              <w:spacing w:after="40" w:before="40" w:line="283" w:lineRule="auto"/>
            </w:pPr>
            <w:r/>
            <w:r>
              <w:rPr>
                <w:rFonts w:ascii="微软雅黑" w:hAnsi="微软雅黑" w:eastAsia="微软雅黑"/>
                <w:b w:val="0"/>
                <w:sz w:val="16"/>
              </w:rPr>
              <w:t>MOI / 实施阶段</w:t>
            </w:r>
          </w:p>
        </w:tc>
        <w:tc>
          <w:tcPr>
            <w:tcW w:type="dxa" w:w="2608"/>
          </w:tcPr>
          <w:p>
            <w:pPr>
              <w:spacing w:after="40" w:before="40" w:line="283" w:lineRule="auto"/>
            </w:pPr>
            <w:r/>
            <w:r>
              <w:rPr>
                <w:rFonts w:ascii="微软雅黑" w:hAnsi="微软雅黑" w:eastAsia="微软雅黑"/>
                <w:b w:val="0"/>
                <w:sz w:val="16"/>
              </w:rPr>
              <w:t>迁移排期与容量估算已可推进（AS-21 已按十一年修订）。对账口径本身已由 DD-37 定义为记录数与关键字段逐条一致、未澄清字段原样保留，尚需 MOI 认可的参照报表以完成验收设计。</w:t>
            </w:r>
          </w:p>
        </w:tc>
        <w:tc>
          <w:tcPr>
            <w:tcW w:type="dxa" w:w="1701"/>
          </w:tcPr>
          <w:p>
            <w:pPr>
              <w:spacing w:after="40" w:before="40" w:line="283" w:lineRule="auto"/>
            </w:pPr>
            <w:r/>
            <w:r>
              <w:rPr>
                <w:rFonts w:ascii="微软雅黑" w:hAnsi="微软雅黑" w:eastAsia="微软雅黑"/>
                <w:b w:val="0"/>
                <w:sz w:val="16"/>
              </w:rPr>
              <w:t>实施启动会确认</w:t>
            </w:r>
          </w:p>
        </w:tc>
      </w:tr>
      <w:tr>
        <w:tc>
          <w:tcPr>
            <w:tcW w:type="dxa" w:w="1077"/>
          </w:tcPr>
          <w:p>
            <w:pPr>
              <w:spacing w:after="40" w:before="40" w:line="283" w:lineRule="auto"/>
            </w:pPr>
            <w:r/>
            <w:r>
              <w:rPr>
                <w:rFonts w:ascii="微软雅黑" w:hAnsi="微软雅黑" w:eastAsia="微软雅黑"/>
                <w:b w:val="0"/>
                <w:sz w:val="16"/>
              </w:rPr>
              <w:t>IR-14</w:t>
              <w:br/>
              <w:br/>
              <w:t>高</w:t>
            </w:r>
          </w:p>
        </w:tc>
        <w:tc>
          <w:tcPr>
            <w:tcW w:type="dxa" w:w="2381"/>
          </w:tcPr>
          <w:p>
            <w:pPr>
              <w:spacing w:after="40" w:before="40" w:line="283" w:lineRule="auto"/>
            </w:pPr>
            <w:r/>
            <w:r>
              <w:rPr>
                <w:rFonts w:ascii="微软雅黑" w:hAnsi="微软雅黑" w:eastAsia="微软雅黑"/>
                <w:b w:val="0"/>
                <w:sz w:val="16"/>
              </w:rPr>
              <w:t>现有麦加 911 中心的报表清单与样张</w:t>
            </w:r>
          </w:p>
        </w:tc>
        <w:tc>
          <w:tcPr>
            <w:tcW w:type="dxa" w:w="1077"/>
          </w:tcPr>
          <w:p>
            <w:pPr>
              <w:spacing w:after="40" w:before="40" w:line="283" w:lineRule="auto"/>
            </w:pPr>
            <w:r/>
            <w:r>
              <w:rPr>
                <w:rFonts w:ascii="微软雅黑" w:hAnsi="微软雅黑" w:eastAsia="微软雅黑"/>
                <w:b w:val="0"/>
                <w:sz w:val="16"/>
              </w:rPr>
              <w:t>MOI</w:t>
            </w:r>
          </w:p>
        </w:tc>
        <w:tc>
          <w:tcPr>
            <w:tcW w:type="dxa" w:w="2608"/>
          </w:tcPr>
          <w:p>
            <w:pPr>
              <w:spacing w:after="40" w:before="40" w:line="283" w:lineRule="auto"/>
            </w:pPr>
            <w:r/>
            <w:r>
              <w:rPr>
                <w:rFonts w:ascii="微软雅黑" w:hAnsi="微软雅黑" w:eastAsia="微软雅黑"/>
                <w:b w:val="0"/>
                <w:sz w:val="16"/>
              </w:rPr>
              <w:t>复刻现有报表（RFP 1.6.2.18 / 1.6.2.28）的输入，以及与四十张的关系澄清。</w:t>
            </w:r>
          </w:p>
        </w:tc>
        <w:tc>
          <w:tcPr>
            <w:tcW w:type="dxa" w:w="1701"/>
          </w:tcPr>
          <w:p>
            <w:pPr>
              <w:spacing w:after="40" w:before="40" w:line="283" w:lineRule="auto"/>
            </w:pPr>
            <w:r/>
            <w:r>
              <w:rPr>
                <w:rFonts w:ascii="微软雅黑" w:hAnsi="微软雅黑" w:eastAsia="微软雅黑"/>
                <w:b w:val="0"/>
                <w:sz w:val="16"/>
              </w:rPr>
              <w:t>要求提供清单与代表性样张</w:t>
            </w:r>
          </w:p>
        </w:tc>
      </w:tr>
      <w:tr>
        <w:tc>
          <w:tcPr>
            <w:tcW w:type="dxa" w:w="1077"/>
          </w:tcPr>
          <w:p>
            <w:pPr>
              <w:spacing w:after="40" w:before="40" w:line="283" w:lineRule="auto"/>
            </w:pPr>
            <w:r/>
            <w:r>
              <w:rPr>
                <w:rFonts w:ascii="微软雅黑" w:hAnsi="微软雅黑" w:eastAsia="微软雅黑"/>
                <w:b w:val="0"/>
                <w:sz w:val="16"/>
              </w:rPr>
              <w:t>IR-15</w:t>
              <w:br/>
              <w:br/>
              <w:t>高</w:t>
            </w:r>
          </w:p>
        </w:tc>
        <w:tc>
          <w:tcPr>
            <w:tcW w:type="dxa" w:w="2381"/>
          </w:tcPr>
          <w:p>
            <w:pPr>
              <w:spacing w:after="40" w:before="40" w:line="283" w:lineRule="auto"/>
            </w:pPr>
            <w:r/>
            <w:r>
              <w:rPr>
                <w:rFonts w:ascii="微软雅黑" w:hAnsi="微软雅黑" w:eastAsia="微软雅黑"/>
                <w:b w:val="0"/>
                <w:sz w:val="16"/>
              </w:rPr>
              <w:t>MOI 数据分类政策</w:t>
            </w:r>
          </w:p>
        </w:tc>
        <w:tc>
          <w:tcPr>
            <w:tcW w:type="dxa" w:w="1077"/>
          </w:tcPr>
          <w:p>
            <w:pPr>
              <w:spacing w:after="40" w:before="40" w:line="283" w:lineRule="auto"/>
            </w:pPr>
            <w:r/>
            <w:r>
              <w:rPr>
                <w:rFonts w:ascii="微软雅黑" w:hAnsi="微软雅黑" w:eastAsia="微软雅黑"/>
                <w:b w:val="0"/>
                <w:sz w:val="16"/>
              </w:rPr>
              <w:t>MOI</w:t>
            </w:r>
          </w:p>
        </w:tc>
        <w:tc>
          <w:tcPr>
            <w:tcW w:type="dxa" w:w="2608"/>
          </w:tcPr>
          <w:p>
            <w:pPr>
              <w:spacing w:after="40" w:before="40" w:line="283" w:lineRule="auto"/>
            </w:pPr>
            <w:r/>
            <w:r>
              <w:rPr>
                <w:rFonts w:ascii="微软雅黑" w:hAnsi="微软雅黑" w:eastAsia="微软雅黑"/>
                <w:b w:val="0"/>
                <w:sz w:val="16"/>
              </w:rPr>
              <w:t>关键路径前置门：未经批准不得上生产与培训库（RFP 2.7.9.5）。同时是脱敏规则的依据。</w:t>
            </w:r>
          </w:p>
        </w:tc>
        <w:tc>
          <w:tcPr>
            <w:tcW w:type="dxa" w:w="1701"/>
          </w:tcPr>
          <w:p>
            <w:pPr>
              <w:spacing w:after="40" w:before="40" w:line="283" w:lineRule="auto"/>
            </w:pPr>
            <w:r/>
            <w:r>
              <w:rPr>
                <w:rFonts w:ascii="微软雅黑" w:hAnsi="微软雅黑" w:eastAsia="微软雅黑"/>
                <w:b w:val="0"/>
                <w:sz w:val="16"/>
              </w:rPr>
              <w:t>需与 MOI 共同制定并取得批准，非单向索取</w:t>
            </w:r>
          </w:p>
        </w:tc>
      </w:tr>
      <w:tr>
        <w:tc>
          <w:tcPr>
            <w:tcW w:type="dxa" w:w="1077"/>
          </w:tcPr>
          <w:p>
            <w:pPr>
              <w:spacing w:after="40" w:before="40" w:line="283" w:lineRule="auto"/>
            </w:pPr>
            <w:r/>
            <w:r>
              <w:rPr>
                <w:rFonts w:ascii="微软雅黑" w:hAnsi="微软雅黑" w:eastAsia="微软雅黑"/>
                <w:b w:val="0"/>
                <w:sz w:val="16"/>
              </w:rPr>
              <w:t>IR-16</w:t>
              <w:br/>
              <w:br/>
              <w:t>高</w:t>
            </w:r>
          </w:p>
        </w:tc>
        <w:tc>
          <w:tcPr>
            <w:tcW w:type="dxa" w:w="2381"/>
          </w:tcPr>
          <w:p>
            <w:pPr>
              <w:spacing w:after="40" w:before="40" w:line="283" w:lineRule="auto"/>
            </w:pPr>
            <w:r/>
            <w:r>
              <w:rPr>
                <w:rFonts w:ascii="微软雅黑" w:hAnsi="微软雅黑" w:eastAsia="微软雅黑"/>
                <w:b w:val="0"/>
                <w:sz w:val="16"/>
              </w:rPr>
              <w:t>DLP 登记册的要求与模板</w:t>
            </w:r>
          </w:p>
        </w:tc>
        <w:tc>
          <w:tcPr>
            <w:tcW w:type="dxa" w:w="1077"/>
          </w:tcPr>
          <w:p>
            <w:pPr>
              <w:spacing w:after="40" w:before="40" w:line="283" w:lineRule="auto"/>
            </w:pPr>
            <w:r/>
            <w:r>
              <w:rPr>
                <w:rFonts w:ascii="微软雅黑" w:hAnsi="微软雅黑" w:eastAsia="微软雅黑"/>
                <w:b w:val="0"/>
                <w:sz w:val="16"/>
              </w:rPr>
              <w:t>MOI</w:t>
            </w:r>
          </w:p>
        </w:tc>
        <w:tc>
          <w:tcPr>
            <w:tcW w:type="dxa" w:w="2608"/>
          </w:tcPr>
          <w:p>
            <w:pPr>
              <w:spacing w:after="40" w:before="40" w:line="283" w:lineRule="auto"/>
            </w:pPr>
            <w:r/>
            <w:r>
              <w:rPr>
                <w:rFonts w:ascii="微软雅黑" w:hAnsi="微软雅黑" w:eastAsia="微软雅黑"/>
                <w:b w:val="0"/>
                <w:sz w:val="16"/>
              </w:rPr>
              <w:t>关键路径前置门：未经批准不得部署数据存储（RFP 2.7.9.11）。</w:t>
            </w:r>
          </w:p>
        </w:tc>
        <w:tc>
          <w:tcPr>
            <w:tcW w:type="dxa" w:w="1701"/>
          </w:tcPr>
          <w:p>
            <w:pPr>
              <w:spacing w:after="40" w:before="40" w:line="283" w:lineRule="auto"/>
            </w:pPr>
            <w:r/>
            <w:r>
              <w:rPr>
                <w:rFonts w:ascii="微软雅黑" w:hAnsi="微软雅黑" w:eastAsia="微软雅黑"/>
                <w:b w:val="0"/>
                <w:sz w:val="16"/>
              </w:rPr>
              <w:t>同上</w:t>
            </w:r>
          </w:p>
        </w:tc>
      </w:tr>
      <w:tr>
        <w:tc>
          <w:tcPr>
            <w:tcW w:type="dxa" w:w="1077"/>
          </w:tcPr>
          <w:p>
            <w:pPr>
              <w:spacing w:after="40" w:before="40" w:line="283" w:lineRule="auto"/>
            </w:pPr>
            <w:r/>
            <w:r>
              <w:rPr>
                <w:rFonts w:ascii="微软雅黑" w:hAnsi="微软雅黑" w:eastAsia="微软雅黑"/>
                <w:b w:val="0"/>
                <w:sz w:val="16"/>
              </w:rPr>
              <w:t>IR-17</w:t>
              <w:br/>
              <w:br/>
              <w:t>中</w:t>
            </w:r>
          </w:p>
        </w:tc>
        <w:tc>
          <w:tcPr>
            <w:tcW w:type="dxa" w:w="2381"/>
          </w:tcPr>
          <w:p>
            <w:pPr>
              <w:spacing w:after="40" w:before="40" w:line="283" w:lineRule="auto"/>
            </w:pPr>
            <w:r/>
            <w:r>
              <w:rPr>
                <w:rFonts w:ascii="微软雅黑" w:hAnsi="微软雅黑" w:eastAsia="微软雅黑"/>
                <w:b w:val="0"/>
                <w:sz w:val="16"/>
              </w:rPr>
              <w:t>KSA 数据打标标准的取值域</w:t>
            </w:r>
          </w:p>
        </w:tc>
        <w:tc>
          <w:tcPr>
            <w:tcW w:type="dxa" w:w="1077"/>
          </w:tcPr>
          <w:p>
            <w:pPr>
              <w:spacing w:after="40" w:before="40" w:line="283" w:lineRule="auto"/>
            </w:pPr>
            <w:r/>
            <w:r>
              <w:rPr>
                <w:rFonts w:ascii="微软雅黑" w:hAnsi="微软雅黑" w:eastAsia="微软雅黑"/>
                <w:b w:val="0"/>
                <w:sz w:val="16"/>
              </w:rPr>
              <w:t>MOI / SDAIA</w:t>
            </w:r>
          </w:p>
        </w:tc>
        <w:tc>
          <w:tcPr>
            <w:tcW w:type="dxa" w:w="2608"/>
          </w:tcPr>
          <w:p>
            <w:pPr>
              <w:spacing w:after="40" w:before="40" w:line="283" w:lineRule="auto"/>
            </w:pPr>
            <w:r/>
            <w:r>
              <w:rPr>
                <w:rFonts w:ascii="微软雅黑" w:hAnsi="微软雅黑" w:eastAsia="微软雅黑"/>
                <w:b w:val="0"/>
                <w:sz w:val="16"/>
              </w:rPr>
              <w:t>数据分类打标（RFP 2.7.9.6）的实现。</w:t>
            </w:r>
          </w:p>
        </w:tc>
        <w:tc>
          <w:tcPr>
            <w:tcW w:type="dxa" w:w="1701"/>
          </w:tcPr>
          <w:p>
            <w:pPr>
              <w:spacing w:after="40" w:before="40" w:line="283" w:lineRule="auto"/>
            </w:pPr>
            <w:r/>
            <w:r>
              <w:rPr>
                <w:rFonts w:ascii="微软雅黑" w:hAnsi="微软雅黑" w:eastAsia="微软雅黑"/>
                <w:b w:val="0"/>
                <w:sz w:val="16"/>
              </w:rPr>
              <w:t>标准文件或取值清单</w:t>
            </w:r>
          </w:p>
        </w:tc>
      </w:tr>
      <w:tr>
        <w:tc>
          <w:tcPr>
            <w:tcW w:type="dxa" w:w="1077"/>
          </w:tcPr>
          <w:p>
            <w:pPr>
              <w:spacing w:after="40" w:before="40" w:line="283" w:lineRule="auto"/>
            </w:pPr>
            <w:r/>
            <w:r>
              <w:rPr>
                <w:rFonts w:ascii="微软雅黑" w:hAnsi="微软雅黑" w:eastAsia="微软雅黑"/>
                <w:b w:val="0"/>
                <w:sz w:val="16"/>
              </w:rPr>
              <w:t>IR-18</w:t>
              <w:br/>
              <w:br/>
              <w:t>中</w:t>
            </w:r>
          </w:p>
        </w:tc>
        <w:tc>
          <w:tcPr>
            <w:tcW w:type="dxa" w:w="2381"/>
          </w:tcPr>
          <w:p>
            <w:pPr>
              <w:spacing w:after="40" w:before="40" w:line="283" w:lineRule="auto"/>
            </w:pPr>
            <w:r/>
            <w:r>
              <w:rPr>
                <w:rFonts w:ascii="微软雅黑" w:hAnsi="微软雅黑" w:eastAsia="微软雅黑"/>
                <w:b w:val="0"/>
                <w:sz w:val="16"/>
              </w:rPr>
              <w:t>审计留痕的合规保留年限</w:t>
            </w:r>
          </w:p>
        </w:tc>
        <w:tc>
          <w:tcPr>
            <w:tcW w:type="dxa" w:w="1077"/>
          </w:tcPr>
          <w:p>
            <w:pPr>
              <w:spacing w:after="40" w:before="40" w:line="283" w:lineRule="auto"/>
            </w:pPr>
            <w:r/>
            <w:r>
              <w:rPr>
                <w:rFonts w:ascii="微软雅黑" w:hAnsi="微软雅黑" w:eastAsia="微软雅黑"/>
                <w:b w:val="0"/>
                <w:sz w:val="16"/>
              </w:rPr>
              <w:t>MOI</w:t>
            </w:r>
          </w:p>
        </w:tc>
        <w:tc>
          <w:tcPr>
            <w:tcW w:type="dxa" w:w="2608"/>
          </w:tcPr>
          <w:p>
            <w:pPr>
              <w:spacing w:after="40" w:before="40" w:line="283" w:lineRule="auto"/>
            </w:pPr>
            <w:r/>
            <w:r>
              <w:rPr>
                <w:rFonts w:ascii="微软雅黑" w:hAnsi="微软雅黑" w:eastAsia="微软雅黑"/>
                <w:b w:val="0"/>
                <w:sz w:val="16"/>
              </w:rPr>
              <w:t>audit 分区与存储估算。当前按八年起草。</w:t>
            </w:r>
          </w:p>
        </w:tc>
        <w:tc>
          <w:tcPr>
            <w:tcW w:type="dxa" w:w="1701"/>
          </w:tcPr>
          <w:p>
            <w:pPr>
              <w:spacing w:after="40" w:before="40" w:line="283" w:lineRule="auto"/>
            </w:pPr>
            <w:r/>
            <w:r>
              <w:rPr>
                <w:rFonts w:ascii="微软雅黑" w:hAnsi="微软雅黑" w:eastAsia="微软雅黑"/>
                <w:b w:val="0"/>
                <w:sz w:val="16"/>
              </w:rPr>
              <w:t>书面确认</w:t>
            </w:r>
          </w:p>
        </w:tc>
      </w:tr>
      <w:tr>
        <w:tc>
          <w:tcPr>
            <w:tcW w:type="dxa" w:w="1077"/>
          </w:tcPr>
          <w:p>
            <w:pPr>
              <w:spacing w:after="40" w:before="40" w:line="283" w:lineRule="auto"/>
            </w:pPr>
            <w:r/>
            <w:r>
              <w:rPr>
                <w:rFonts w:ascii="微软雅黑" w:hAnsi="微软雅黑" w:eastAsia="微软雅黑"/>
                <w:b w:val="0"/>
                <w:sz w:val="16"/>
              </w:rPr>
              <w:t>IR-19</w:t>
              <w:br/>
              <w:br/>
              <w:t>中</w:t>
            </w:r>
          </w:p>
        </w:tc>
        <w:tc>
          <w:tcPr>
            <w:tcW w:type="dxa" w:w="2381"/>
          </w:tcPr>
          <w:p>
            <w:pPr>
              <w:spacing w:after="40" w:before="40" w:line="283" w:lineRule="auto"/>
            </w:pPr>
            <w:r/>
            <w:r>
              <w:rPr>
                <w:rFonts w:ascii="微软雅黑" w:hAnsi="微软雅黑" w:eastAsia="微软雅黑"/>
                <w:b w:val="0"/>
                <w:sz w:val="16"/>
              </w:rPr>
              <w:t>MOI 现有的报表投递通道（邮件系统或文件投递）</w:t>
            </w:r>
          </w:p>
        </w:tc>
        <w:tc>
          <w:tcPr>
            <w:tcW w:type="dxa" w:w="1077"/>
          </w:tcPr>
          <w:p>
            <w:pPr>
              <w:spacing w:after="40" w:before="40" w:line="283" w:lineRule="auto"/>
            </w:pPr>
            <w:r/>
            <w:r>
              <w:rPr>
                <w:rFonts w:ascii="微软雅黑" w:hAnsi="微软雅黑" w:eastAsia="微软雅黑"/>
                <w:b w:val="0"/>
                <w:sz w:val="16"/>
              </w:rPr>
              <w:t>MOI</w:t>
            </w:r>
          </w:p>
        </w:tc>
        <w:tc>
          <w:tcPr>
            <w:tcW w:type="dxa" w:w="2608"/>
          </w:tcPr>
          <w:p>
            <w:pPr>
              <w:spacing w:after="40" w:before="40" w:line="283" w:lineRule="auto"/>
            </w:pPr>
            <w:r/>
            <w:r>
              <w:rPr>
                <w:rFonts w:ascii="微软雅黑" w:hAnsi="微软雅黑" w:eastAsia="微软雅黑"/>
                <w:b w:val="0"/>
                <w:sz w:val="16"/>
              </w:rPr>
              <w:t>订阅分发的实现方式。</w:t>
            </w:r>
          </w:p>
        </w:tc>
        <w:tc>
          <w:tcPr>
            <w:tcW w:type="dxa" w:w="1701"/>
          </w:tcPr>
          <w:p>
            <w:pPr>
              <w:spacing w:after="40" w:before="40" w:line="283" w:lineRule="auto"/>
            </w:pPr>
            <w:r/>
            <w:r>
              <w:rPr>
                <w:rFonts w:ascii="微软雅黑" w:hAnsi="微软雅黑" w:eastAsia="微软雅黑"/>
                <w:b w:val="0"/>
                <w:sz w:val="16"/>
              </w:rPr>
              <w:t>书面确认</w:t>
            </w:r>
          </w:p>
        </w:tc>
      </w:tr>
      <w:tr>
        <w:tc>
          <w:tcPr>
            <w:tcW w:type="dxa" w:w="1077"/>
          </w:tcPr>
          <w:p>
            <w:pPr>
              <w:spacing w:after="40" w:before="40" w:line="283" w:lineRule="auto"/>
            </w:pPr>
            <w:r/>
            <w:r>
              <w:rPr>
                <w:rFonts w:ascii="微软雅黑" w:hAnsi="微软雅黑" w:eastAsia="微软雅黑"/>
                <w:b w:val="0"/>
                <w:sz w:val="16"/>
              </w:rPr>
              <w:t>IR-20</w:t>
              <w:br/>
              <w:br/>
              <w:t>高</w:t>
            </w:r>
          </w:p>
        </w:tc>
        <w:tc>
          <w:tcPr>
            <w:tcW w:type="dxa" w:w="2381"/>
          </w:tcPr>
          <w:p>
            <w:pPr>
              <w:spacing w:after="40" w:before="40" w:line="283" w:lineRule="auto"/>
            </w:pPr>
            <w:r/>
            <w:r>
              <w:rPr>
                <w:rFonts w:ascii="微软雅黑" w:hAnsi="微软雅黑" w:eastAsia="微软雅黑"/>
                <w:b w:val="0"/>
                <w:sz w:val="16"/>
              </w:rPr>
              <w:t>与 CAD 和话务平台共用的 NTP 源</w:t>
            </w:r>
          </w:p>
        </w:tc>
        <w:tc>
          <w:tcPr>
            <w:tcW w:type="dxa" w:w="1077"/>
          </w:tcPr>
          <w:p>
            <w:pPr>
              <w:spacing w:after="40" w:before="40" w:line="283" w:lineRule="auto"/>
            </w:pPr>
            <w:r/>
            <w:r>
              <w:rPr>
                <w:rFonts w:ascii="微软雅黑" w:hAnsi="微软雅黑" w:eastAsia="微软雅黑"/>
                <w:b w:val="0"/>
                <w:sz w:val="16"/>
              </w:rPr>
              <w:t>总包商</w:t>
            </w:r>
          </w:p>
        </w:tc>
        <w:tc>
          <w:tcPr>
            <w:tcW w:type="dxa" w:w="2608"/>
          </w:tcPr>
          <w:p>
            <w:pPr>
              <w:spacing w:after="40" w:before="40" w:line="283" w:lineRule="auto"/>
            </w:pPr>
            <w:r/>
            <w:r>
              <w:rPr>
                <w:rFonts w:ascii="微软雅黑" w:hAnsi="微软雅黑" w:eastAsia="微软雅黑"/>
                <w:b w:val="0"/>
                <w:sz w:val="16"/>
              </w:rPr>
              <w:t>跨系统事件时序与秒级服务水平测量的互证基础。漂移须不超过五十毫秒。</w:t>
            </w:r>
          </w:p>
        </w:tc>
        <w:tc>
          <w:tcPr>
            <w:tcW w:type="dxa" w:w="1701"/>
          </w:tcPr>
          <w:p>
            <w:pPr>
              <w:spacing w:after="40" w:before="40" w:line="283" w:lineRule="auto"/>
            </w:pPr>
            <w:r/>
            <w:r>
              <w:rPr>
                <w:rFonts w:ascii="微软雅黑" w:hAnsi="微软雅黑" w:eastAsia="微软雅黑"/>
                <w:b w:val="0"/>
                <w:sz w:val="16"/>
              </w:rPr>
              <w:t>基础设施交底</w:t>
            </w:r>
          </w:p>
        </w:tc>
      </w:tr>
      <w:tr>
        <w:tc>
          <w:tcPr>
            <w:tcW w:type="dxa" w:w="1077"/>
          </w:tcPr>
          <w:p>
            <w:pPr>
              <w:spacing w:after="40" w:before="40" w:line="283" w:lineRule="auto"/>
            </w:pPr>
            <w:r/>
            <w:r>
              <w:rPr>
                <w:rFonts w:ascii="微软雅黑" w:hAnsi="微软雅黑" w:eastAsia="微软雅黑"/>
                <w:b w:val="0"/>
                <w:sz w:val="16"/>
              </w:rPr>
              <w:t>IR-21</w:t>
              <w:br/>
              <w:br/>
              <w:t>高</w:t>
            </w:r>
          </w:p>
        </w:tc>
        <w:tc>
          <w:tcPr>
            <w:tcW w:type="dxa" w:w="2381"/>
          </w:tcPr>
          <w:p>
            <w:pPr>
              <w:spacing w:after="40" w:before="40" w:line="283" w:lineRule="auto"/>
            </w:pPr>
            <w:r/>
            <w:r>
              <w:rPr>
                <w:rFonts w:ascii="微软雅黑" w:hAnsi="微软雅黑" w:eastAsia="微软雅黑"/>
                <w:b w:val="0"/>
                <w:sz w:val="16"/>
              </w:rPr>
              <w:t>服务水平判定口径：探测点位置、失败判定标准、监控数据留存要求</w:t>
            </w:r>
          </w:p>
        </w:tc>
        <w:tc>
          <w:tcPr>
            <w:tcW w:type="dxa" w:w="1077"/>
          </w:tcPr>
          <w:p>
            <w:pPr>
              <w:spacing w:after="40" w:before="40" w:line="283" w:lineRule="auto"/>
            </w:pPr>
            <w:r/>
            <w:r>
              <w:rPr>
                <w:rFonts w:ascii="微软雅黑" w:hAnsi="微软雅黑" w:eastAsia="微软雅黑"/>
                <w:b w:val="0"/>
                <w:sz w:val="16"/>
              </w:rPr>
              <w:t>总包商 / MOI</w:t>
            </w:r>
          </w:p>
        </w:tc>
        <w:tc>
          <w:tcPr>
            <w:tcW w:type="dxa" w:w="2608"/>
          </w:tcPr>
          <w:p>
            <w:pPr>
              <w:spacing w:after="40" w:before="40" w:line="283" w:lineRule="auto"/>
            </w:pPr>
            <w:r/>
            <w:r>
              <w:rPr>
                <w:rFonts w:ascii="微软雅黑" w:hAnsi="微软雅黑" w:eastAsia="微软雅黑"/>
                <w:b w:val="0"/>
                <w:sz w:val="16"/>
              </w:rPr>
              <w:t>自证举证的有效性。未事先认可的自证等同于没有证据。</w:t>
            </w:r>
          </w:p>
        </w:tc>
        <w:tc>
          <w:tcPr>
            <w:tcW w:type="dxa" w:w="1701"/>
          </w:tcPr>
          <w:p>
            <w:pPr>
              <w:spacing w:after="40" w:before="40" w:line="283" w:lineRule="auto"/>
            </w:pPr>
            <w:r/>
            <w:r>
              <w:rPr>
                <w:rFonts w:ascii="微软雅黑" w:hAnsi="微软雅黑" w:eastAsia="微软雅黑"/>
                <w:b w:val="0"/>
                <w:sz w:val="16"/>
              </w:rPr>
              <w:t>以接口文件形式提交并取得书面认可</w:t>
            </w:r>
          </w:p>
        </w:tc>
      </w:tr>
      <w:tr>
        <w:tc>
          <w:tcPr>
            <w:tcW w:type="dxa" w:w="1077"/>
          </w:tcPr>
          <w:p>
            <w:pPr>
              <w:spacing w:after="40" w:before="40" w:line="283" w:lineRule="auto"/>
            </w:pPr>
            <w:r/>
            <w:r>
              <w:rPr>
                <w:rFonts w:ascii="微软雅黑" w:hAnsi="微软雅黑" w:eastAsia="微软雅黑"/>
                <w:b w:val="0"/>
                <w:sz w:val="16"/>
              </w:rPr>
              <w:t>IR-22</w:t>
              <w:br/>
              <w:br/>
              <w:t>高</w:t>
            </w:r>
          </w:p>
        </w:tc>
        <w:tc>
          <w:tcPr>
            <w:tcW w:type="dxa" w:w="2381"/>
          </w:tcPr>
          <w:p>
            <w:pPr>
              <w:spacing w:after="40" w:before="40" w:line="283" w:lineRule="auto"/>
            </w:pPr>
            <w:r/>
            <w:r>
              <w:rPr>
                <w:rFonts w:ascii="微软雅黑" w:hAnsi="微软雅黑" w:eastAsia="微软雅黑"/>
                <w:b w:val="0"/>
                <w:sz w:val="16"/>
              </w:rPr>
              <w:t>虚拟化平台能否满足十七条放置与隔离要求</w:t>
            </w:r>
          </w:p>
        </w:tc>
        <w:tc>
          <w:tcPr>
            <w:tcW w:type="dxa" w:w="1077"/>
          </w:tcPr>
          <w:p>
            <w:pPr>
              <w:spacing w:after="40" w:before="40" w:line="283" w:lineRule="auto"/>
            </w:pPr>
            <w:r/>
            <w:r>
              <w:rPr>
                <w:rFonts w:ascii="微软雅黑" w:hAnsi="微软雅黑" w:eastAsia="微软雅黑"/>
                <w:b w:val="0"/>
                <w:sz w:val="16"/>
              </w:rPr>
              <w:t>基础设施提供方</w:t>
            </w:r>
          </w:p>
        </w:tc>
        <w:tc>
          <w:tcPr>
            <w:tcW w:type="dxa" w:w="2608"/>
          </w:tcPr>
          <w:p>
            <w:pPr>
              <w:spacing w:after="40" w:before="40" w:line="283" w:lineRule="auto"/>
            </w:pPr>
            <w:r/>
            <w:r>
              <w:rPr>
                <w:rFonts w:ascii="微软雅黑" w:hAnsi="微软雅黑" w:eastAsia="微软雅黑"/>
                <w:b w:val="0"/>
                <w:sz w:val="16"/>
              </w:rPr>
              <w:t>任何一条不能满足，须重新评估相应的服务水平承诺，而不是调整设计。</w:t>
            </w:r>
          </w:p>
        </w:tc>
        <w:tc>
          <w:tcPr>
            <w:tcW w:type="dxa" w:w="1701"/>
          </w:tcPr>
          <w:p>
            <w:pPr>
              <w:spacing w:after="40" w:before="40" w:line="283" w:lineRule="auto"/>
            </w:pPr>
            <w:r/>
            <w:r>
              <w:rPr>
                <w:rFonts w:ascii="微软雅黑" w:hAnsi="微软雅黑" w:eastAsia="微软雅黑"/>
                <w:b w:val="0"/>
                <w:sz w:val="16"/>
              </w:rPr>
              <w:t>逐条答复能否满足</w:t>
            </w:r>
          </w:p>
        </w:tc>
      </w:tr>
      <w:tr>
        <w:tc>
          <w:tcPr>
            <w:tcW w:type="dxa" w:w="1077"/>
          </w:tcPr>
          <w:p>
            <w:pPr>
              <w:spacing w:after="40" w:before="40" w:line="283" w:lineRule="auto"/>
            </w:pPr>
            <w:r/>
            <w:r>
              <w:rPr>
                <w:rFonts w:ascii="微软雅黑" w:hAnsi="微软雅黑" w:eastAsia="微软雅黑"/>
                <w:b w:val="0"/>
                <w:sz w:val="16"/>
              </w:rPr>
              <w:t>IR-23</w:t>
              <w:br/>
              <w:br/>
              <w:t>高</w:t>
            </w:r>
          </w:p>
        </w:tc>
        <w:tc>
          <w:tcPr>
            <w:tcW w:type="dxa" w:w="2381"/>
          </w:tcPr>
          <w:p>
            <w:pPr>
              <w:spacing w:after="40" w:before="40" w:line="283" w:lineRule="auto"/>
            </w:pPr>
            <w:r/>
            <w:r>
              <w:rPr>
                <w:rFonts w:ascii="微软雅黑" w:hAnsi="微软雅黑" w:eastAsia="微软雅黑"/>
                <w:b w:val="0"/>
                <w:sz w:val="16"/>
              </w:rPr>
              <w:t>数据库层可用的存储等级与保证性能（IOPS 与写入时延）</w:t>
            </w:r>
          </w:p>
        </w:tc>
        <w:tc>
          <w:tcPr>
            <w:tcW w:type="dxa" w:w="1077"/>
          </w:tcPr>
          <w:p>
            <w:pPr>
              <w:spacing w:after="40" w:before="40" w:line="283" w:lineRule="auto"/>
            </w:pPr>
            <w:r/>
            <w:r>
              <w:rPr>
                <w:rFonts w:ascii="微软雅黑" w:hAnsi="微软雅黑" w:eastAsia="微软雅黑"/>
                <w:b w:val="0"/>
                <w:sz w:val="16"/>
              </w:rPr>
              <w:t>基础设施提供方</w:t>
            </w:r>
          </w:p>
        </w:tc>
        <w:tc>
          <w:tcPr>
            <w:tcW w:type="dxa" w:w="2608"/>
          </w:tcPr>
          <w:p>
            <w:pPr>
              <w:spacing w:after="40" w:before="40" w:line="283" w:lineRule="auto"/>
            </w:pPr>
            <w:r/>
            <w:r>
              <w:rPr>
                <w:rFonts w:ascii="微软雅黑" w:hAnsi="微软雅黑" w:eastAsia="微软雅黑"/>
                <w:b w:val="0"/>
                <w:sz w:val="16"/>
              </w:rPr>
              <w:t>同步复制的可行性。写入时延超标时须按降级决策树处理。</w:t>
            </w:r>
          </w:p>
        </w:tc>
        <w:tc>
          <w:tcPr>
            <w:tcW w:type="dxa" w:w="1701"/>
          </w:tcPr>
          <w:p>
            <w:pPr>
              <w:spacing w:after="40" w:before="40" w:line="283" w:lineRule="auto"/>
            </w:pPr>
            <w:r/>
            <w:r>
              <w:rPr>
                <w:rFonts w:ascii="微软雅黑" w:hAnsi="微软雅黑" w:eastAsia="微软雅黑"/>
                <w:b w:val="0"/>
                <w:sz w:val="16"/>
              </w:rPr>
              <w:t>逐项答复</w:t>
            </w:r>
          </w:p>
        </w:tc>
      </w:tr>
      <w:tr>
        <w:tc>
          <w:tcPr>
            <w:tcW w:type="dxa" w:w="1077"/>
          </w:tcPr>
          <w:p>
            <w:pPr>
              <w:spacing w:after="40" w:before="40" w:line="283" w:lineRule="auto"/>
            </w:pPr>
            <w:r/>
            <w:r>
              <w:rPr>
                <w:rFonts w:ascii="微软雅黑" w:hAnsi="微软雅黑" w:eastAsia="微软雅黑"/>
                <w:b w:val="0"/>
                <w:sz w:val="16"/>
              </w:rPr>
              <w:t>IR-24</w:t>
              <w:br/>
              <w:br/>
              <w:t>中</w:t>
            </w:r>
          </w:p>
        </w:tc>
        <w:tc>
          <w:tcPr>
            <w:tcW w:type="dxa" w:w="2381"/>
          </w:tcPr>
          <w:p>
            <w:pPr>
              <w:spacing w:after="40" w:before="40" w:line="283" w:lineRule="auto"/>
            </w:pPr>
            <w:r/>
            <w:r>
              <w:rPr>
                <w:rFonts w:ascii="微软雅黑" w:hAnsi="微软雅黑" w:eastAsia="微软雅黑"/>
                <w:b w:val="0"/>
                <w:sz w:val="16"/>
              </w:rPr>
              <w:t>平台是否提供数据库与备份存储的静态加密</w:t>
            </w:r>
          </w:p>
        </w:tc>
        <w:tc>
          <w:tcPr>
            <w:tcW w:type="dxa" w:w="1077"/>
          </w:tcPr>
          <w:p>
            <w:pPr>
              <w:spacing w:after="40" w:before="40" w:line="283" w:lineRule="auto"/>
            </w:pPr>
            <w:r/>
            <w:r>
              <w:rPr>
                <w:rFonts w:ascii="微软雅黑" w:hAnsi="微软雅黑" w:eastAsia="微软雅黑"/>
                <w:b w:val="0"/>
                <w:sz w:val="16"/>
              </w:rPr>
              <w:t>基础设施提供方</w:t>
            </w:r>
          </w:p>
        </w:tc>
        <w:tc>
          <w:tcPr>
            <w:tcW w:type="dxa" w:w="2608"/>
          </w:tcPr>
          <w:p>
            <w:pPr>
              <w:spacing w:after="40" w:before="40" w:line="283" w:lineRule="auto"/>
            </w:pPr>
            <w:r/>
            <w:r>
              <w:rPr>
                <w:rFonts w:ascii="微软雅黑" w:hAnsi="微软雅黑" w:eastAsia="微软雅黑"/>
                <w:b w:val="0"/>
                <w:sz w:val="16"/>
              </w:rPr>
              <w:t>静态加密的实现方式。</w:t>
            </w:r>
          </w:p>
        </w:tc>
        <w:tc>
          <w:tcPr>
            <w:tcW w:type="dxa" w:w="1701"/>
          </w:tcPr>
          <w:p>
            <w:pPr>
              <w:spacing w:after="40" w:before="40" w:line="283" w:lineRule="auto"/>
            </w:pPr>
            <w:r/>
            <w:r>
              <w:rPr>
                <w:rFonts w:ascii="微软雅黑" w:hAnsi="微软雅黑" w:eastAsia="微软雅黑"/>
                <w:b w:val="0"/>
                <w:sz w:val="16"/>
              </w:rPr>
              <w:t>书面答复</w:t>
            </w:r>
          </w:p>
        </w:tc>
      </w:tr>
      <w:tr>
        <w:tc>
          <w:tcPr>
            <w:tcW w:type="dxa" w:w="1077"/>
          </w:tcPr>
          <w:p>
            <w:pPr>
              <w:spacing w:after="40" w:before="40" w:line="283" w:lineRule="auto"/>
            </w:pPr>
            <w:r/>
            <w:r>
              <w:rPr>
                <w:rFonts w:ascii="微软雅黑" w:hAnsi="微软雅黑" w:eastAsia="微软雅黑"/>
                <w:b w:val="0"/>
                <w:sz w:val="16"/>
              </w:rPr>
              <w:t>IR-25</w:t>
              <w:br/>
              <w:br/>
              <w:t>中</w:t>
            </w:r>
          </w:p>
        </w:tc>
        <w:tc>
          <w:tcPr>
            <w:tcW w:type="dxa" w:w="2381"/>
          </w:tcPr>
          <w:p>
            <w:pPr>
              <w:spacing w:after="40" w:before="40" w:line="283" w:lineRule="auto"/>
            </w:pPr>
            <w:r/>
            <w:r>
              <w:rPr>
                <w:rFonts w:ascii="微软雅黑" w:hAnsi="微软雅黑" w:eastAsia="微软雅黑"/>
                <w:b w:val="0"/>
                <w:sz w:val="16"/>
              </w:rPr>
              <w:t>数据中心的机架、供电与交换拓扑</w:t>
            </w:r>
          </w:p>
        </w:tc>
        <w:tc>
          <w:tcPr>
            <w:tcW w:type="dxa" w:w="1077"/>
          </w:tcPr>
          <w:p>
            <w:pPr>
              <w:spacing w:after="40" w:before="40" w:line="283" w:lineRule="auto"/>
            </w:pPr>
            <w:r/>
            <w:r>
              <w:rPr>
                <w:rFonts w:ascii="微软雅黑" w:hAnsi="微软雅黑" w:eastAsia="微软雅黑"/>
                <w:b w:val="0"/>
                <w:sz w:val="16"/>
              </w:rPr>
              <w:t>基础设施提供方</w:t>
            </w:r>
          </w:p>
        </w:tc>
        <w:tc>
          <w:tcPr>
            <w:tcW w:type="dxa" w:w="2608"/>
          </w:tcPr>
          <w:p>
            <w:pPr>
              <w:spacing w:after="40" w:before="40" w:line="283" w:lineRule="auto"/>
            </w:pPr>
            <w:r/>
            <w:r>
              <w:rPr>
                <w:rFonts w:ascii="微软雅黑" w:hAnsi="微软雅黑" w:eastAsia="微软雅黑"/>
                <w:b w:val="0"/>
                <w:sz w:val="16"/>
              </w:rPr>
              <w:t>机架级隔离能否满足；两机架条件下仲裁的固有限制需向 MOI 说明。</w:t>
            </w:r>
          </w:p>
        </w:tc>
        <w:tc>
          <w:tcPr>
            <w:tcW w:type="dxa" w:w="1701"/>
          </w:tcPr>
          <w:p>
            <w:pPr>
              <w:spacing w:after="40" w:before="40" w:line="283" w:lineRule="auto"/>
            </w:pPr>
            <w:r/>
            <w:r>
              <w:rPr>
                <w:rFonts w:ascii="微软雅黑" w:hAnsi="微软雅黑" w:eastAsia="微软雅黑"/>
                <w:b w:val="0"/>
                <w:sz w:val="16"/>
              </w:rPr>
              <w:t>拓扑图</w:t>
            </w:r>
          </w:p>
        </w:tc>
      </w:tr>
      <w:tr>
        <w:tc>
          <w:tcPr>
            <w:tcW w:type="dxa" w:w="1077"/>
          </w:tcPr>
          <w:p>
            <w:pPr>
              <w:spacing w:after="40" w:before="40" w:line="283" w:lineRule="auto"/>
            </w:pPr>
            <w:r/>
            <w:r>
              <w:rPr>
                <w:rFonts w:ascii="微软雅黑" w:hAnsi="微软雅黑" w:eastAsia="微软雅黑"/>
                <w:b w:val="0"/>
                <w:sz w:val="16"/>
              </w:rPr>
              <w:t>IR-26</w:t>
              <w:br/>
              <w:br/>
              <w:t>高</w:t>
            </w:r>
          </w:p>
        </w:tc>
        <w:tc>
          <w:tcPr>
            <w:tcW w:type="dxa" w:w="2381"/>
          </w:tcPr>
          <w:p>
            <w:pPr>
              <w:spacing w:after="40" w:before="40" w:line="283" w:lineRule="auto"/>
            </w:pPr>
            <w:r/>
            <w:r>
              <w:rPr>
                <w:rFonts w:ascii="微软雅黑" w:hAnsi="微软雅黑" w:eastAsia="微软雅黑"/>
                <w:b w:val="0"/>
                <w:sz w:val="16"/>
              </w:rPr>
              <w:t>ESB 由谁提供、规格何时冻结</w:t>
            </w:r>
          </w:p>
        </w:tc>
        <w:tc>
          <w:tcPr>
            <w:tcW w:type="dxa" w:w="1077"/>
          </w:tcPr>
          <w:p>
            <w:pPr>
              <w:spacing w:after="40" w:before="40" w:line="283" w:lineRule="auto"/>
            </w:pPr>
            <w:r/>
            <w:r>
              <w:rPr>
                <w:rFonts w:ascii="微软雅黑" w:hAnsi="微软雅黑" w:eastAsia="微软雅黑"/>
                <w:b w:val="0"/>
                <w:sz w:val="16"/>
              </w:rPr>
              <w:t>总包商</w:t>
            </w:r>
          </w:p>
        </w:tc>
        <w:tc>
          <w:tcPr>
            <w:tcW w:type="dxa" w:w="2608"/>
          </w:tcPr>
          <w:p>
            <w:pPr>
              <w:spacing w:after="40" w:before="40" w:line="283" w:lineRule="auto"/>
            </w:pPr>
            <w:r/>
            <w:r>
              <w:rPr>
                <w:rFonts w:ascii="微软雅黑" w:hAnsi="微软雅黑" w:eastAsia="微软雅黑"/>
                <w:b w:val="0"/>
                <w:sz w:val="16"/>
              </w:rPr>
              <w:t>RFP 1.6.2.31.2 要求的适配器交付时间取决于此。</w:t>
            </w:r>
          </w:p>
        </w:tc>
        <w:tc>
          <w:tcPr>
            <w:tcW w:type="dxa" w:w="1701"/>
          </w:tcPr>
          <w:p>
            <w:pPr>
              <w:spacing w:after="40" w:before="40" w:line="283" w:lineRule="auto"/>
            </w:pPr>
            <w:r/>
            <w:r>
              <w:rPr>
                <w:rFonts w:ascii="微软雅黑" w:hAnsi="微软雅黑" w:eastAsia="微软雅黑"/>
                <w:b w:val="0"/>
                <w:sz w:val="16"/>
              </w:rPr>
              <w:t>联合体内明确</w:t>
            </w:r>
          </w:p>
        </w:tc>
      </w:tr>
      <w:tr>
        <w:tc>
          <w:tcPr>
            <w:tcW w:type="dxa" w:w="1077"/>
          </w:tcPr>
          <w:p>
            <w:pPr>
              <w:spacing w:after="40" w:before="40" w:line="283" w:lineRule="auto"/>
            </w:pPr>
            <w:r/>
            <w:r>
              <w:rPr>
                <w:rFonts w:ascii="微软雅黑" w:hAnsi="微软雅黑" w:eastAsia="微软雅黑"/>
                <w:b w:val="0"/>
                <w:sz w:val="16"/>
              </w:rPr>
              <w:t>IR-27</w:t>
              <w:br/>
              <w:br/>
              <w:t>高</w:t>
            </w:r>
          </w:p>
        </w:tc>
        <w:tc>
          <w:tcPr>
            <w:tcW w:type="dxa" w:w="2381"/>
          </w:tcPr>
          <w:p>
            <w:pPr>
              <w:spacing w:after="40" w:before="40" w:line="283" w:lineRule="auto"/>
            </w:pPr>
            <w:r/>
            <w:r>
              <w:rPr>
                <w:rFonts w:ascii="微软雅黑" w:hAnsi="微软雅黑" w:eastAsia="微软雅黑"/>
                <w:b w:val="0"/>
                <w:sz w:val="16"/>
              </w:rPr>
              <w:t>现场媒体量：MDS 与 E-Assist 携带媒体的警情占比、平均张数与大小、是否含视频</w:t>
            </w:r>
          </w:p>
        </w:tc>
        <w:tc>
          <w:tcPr>
            <w:tcW w:type="dxa" w:w="1077"/>
          </w:tcPr>
          <w:p>
            <w:pPr>
              <w:spacing w:after="40" w:before="40" w:line="283" w:lineRule="auto"/>
            </w:pPr>
            <w:r/>
            <w:r>
              <w:rPr>
                <w:rFonts w:ascii="微软雅黑" w:hAnsi="微软雅黑" w:eastAsia="微软雅黑"/>
                <w:b w:val="0"/>
                <w:sz w:val="16"/>
              </w:rPr>
              <w:t>业务方</w:t>
            </w:r>
          </w:p>
        </w:tc>
        <w:tc>
          <w:tcPr>
            <w:tcW w:type="dxa" w:w="2608"/>
          </w:tcPr>
          <w:p>
            <w:pPr>
              <w:spacing w:after="40" w:before="40" w:line="283" w:lineRule="auto"/>
            </w:pPr>
            <w:r/>
            <w:r>
              <w:rPr>
                <w:rFonts w:ascii="微软雅黑" w:hAnsi="微软雅黑" w:eastAsia="微软雅黑"/>
                <w:b w:val="0"/>
                <w:sz w:val="16"/>
              </w:rPr>
              <w:t>对象存储容量在 10 TB 与 50 TB 之间相差五倍。</w:t>
            </w:r>
          </w:p>
        </w:tc>
        <w:tc>
          <w:tcPr>
            <w:tcW w:type="dxa" w:w="1701"/>
          </w:tcPr>
          <w:p>
            <w:pPr>
              <w:spacing w:after="40" w:before="40" w:line="283" w:lineRule="auto"/>
            </w:pPr>
            <w:r/>
            <w:r>
              <w:rPr>
                <w:rFonts w:ascii="微软雅黑" w:hAnsi="微软雅黑" w:eastAsia="微软雅黑"/>
                <w:b w:val="0"/>
                <w:sz w:val="16"/>
              </w:rPr>
              <w:t>业务调研或历史统计</w:t>
            </w:r>
          </w:p>
        </w:tc>
      </w:tr>
      <w:tr>
        <w:tc>
          <w:tcPr>
            <w:tcW w:type="dxa" w:w="1077"/>
          </w:tcPr>
          <w:p>
            <w:pPr>
              <w:spacing w:after="40" w:before="40" w:line="283" w:lineRule="auto"/>
            </w:pPr>
            <w:r/>
            <w:r>
              <w:rPr>
                <w:rFonts w:ascii="微软雅黑" w:hAnsi="微软雅黑" w:eastAsia="微软雅黑"/>
                <w:b w:val="0"/>
                <w:sz w:val="16"/>
              </w:rPr>
              <w:t>IR-28</w:t>
              <w:br/>
              <w:br/>
              <w:t>中</w:t>
            </w:r>
          </w:p>
        </w:tc>
        <w:tc>
          <w:tcPr>
            <w:tcW w:type="dxa" w:w="2381"/>
          </w:tcPr>
          <w:p>
            <w:pPr>
              <w:spacing w:after="40" w:before="40" w:line="283" w:lineRule="auto"/>
            </w:pPr>
            <w:r/>
            <w:r>
              <w:rPr>
                <w:rFonts w:ascii="微软雅黑" w:hAnsi="微软雅黑" w:eastAsia="微软雅黑"/>
                <w:b w:val="0"/>
                <w:sz w:val="16"/>
              </w:rPr>
              <w:t>客户反馈数据的采集方与数据形态</w:t>
            </w:r>
          </w:p>
        </w:tc>
        <w:tc>
          <w:tcPr>
            <w:tcW w:type="dxa" w:w="1077"/>
          </w:tcPr>
          <w:p>
            <w:pPr>
              <w:spacing w:after="40" w:before="40" w:line="283" w:lineRule="auto"/>
            </w:pPr>
            <w:r/>
            <w:r>
              <w:rPr>
                <w:rFonts w:ascii="微软雅黑" w:hAnsi="微软雅黑" w:eastAsia="微软雅黑"/>
                <w:b w:val="0"/>
                <w:sz w:val="16"/>
              </w:rPr>
              <w:t>MOI / 总包商</w:t>
            </w:r>
          </w:p>
        </w:tc>
        <w:tc>
          <w:tcPr>
            <w:tcW w:type="dxa" w:w="2608"/>
          </w:tcPr>
          <w:p>
            <w:pPr>
              <w:spacing w:after="40" w:before="40" w:line="283" w:lineRule="auto"/>
            </w:pPr>
            <w:r/>
            <w:r>
              <w:rPr>
                <w:rFonts w:ascii="微软雅黑" w:hAnsi="微软雅黑" w:eastAsia="微软雅黑"/>
                <w:b w:val="0"/>
                <w:sz w:val="16"/>
              </w:rPr>
              <w:t>RFP 1.6.2.17 的实现。若采集也属本方范围，属新增工作量。</w:t>
            </w:r>
          </w:p>
        </w:tc>
        <w:tc>
          <w:tcPr>
            <w:tcW w:type="dxa" w:w="1701"/>
          </w:tcPr>
          <w:p>
            <w:pPr>
              <w:spacing w:after="40" w:before="40" w:line="283" w:lineRule="auto"/>
            </w:pPr>
            <w:r/>
            <w:r>
              <w:rPr>
                <w:rFonts w:ascii="微软雅黑" w:hAnsi="微软雅黑" w:eastAsia="微软雅黑"/>
                <w:b w:val="0"/>
                <w:sz w:val="16"/>
              </w:rPr>
              <w:t>联合体内明确</w:t>
            </w:r>
          </w:p>
        </w:tc>
      </w:tr>
      <w:tr>
        <w:tc>
          <w:tcPr>
            <w:tcW w:type="dxa" w:w="1077"/>
          </w:tcPr>
          <w:p>
            <w:pPr>
              <w:spacing w:after="40" w:before="40" w:line="283" w:lineRule="auto"/>
            </w:pPr>
            <w:r/>
            <w:r>
              <w:rPr>
                <w:rFonts w:ascii="微软雅黑" w:hAnsi="微软雅黑" w:eastAsia="微软雅黑"/>
                <w:b w:val="0"/>
                <w:sz w:val="16"/>
              </w:rPr>
              <w:t>IR-29</w:t>
              <w:br/>
              <w:br/>
              <w:t>中</w:t>
            </w:r>
          </w:p>
        </w:tc>
        <w:tc>
          <w:tcPr>
            <w:tcW w:type="dxa" w:w="2381"/>
          </w:tcPr>
          <w:p>
            <w:pPr>
              <w:spacing w:after="40" w:before="40" w:line="283" w:lineRule="auto"/>
            </w:pPr>
            <w:r/>
            <w:r>
              <w:rPr>
                <w:rFonts w:ascii="微软雅黑" w:hAnsi="微软雅黑" w:eastAsia="微软雅黑"/>
                <w:b w:val="0"/>
                <w:sz w:val="16"/>
              </w:rPr>
              <w:t>SMS 方案的归属与数据接口</w:t>
            </w:r>
          </w:p>
        </w:tc>
        <w:tc>
          <w:tcPr>
            <w:tcW w:type="dxa" w:w="1077"/>
          </w:tcPr>
          <w:p>
            <w:pPr>
              <w:spacing w:after="40" w:before="40" w:line="283" w:lineRule="auto"/>
            </w:pPr>
            <w:r/>
            <w:r>
              <w:rPr>
                <w:rFonts w:ascii="微软雅黑" w:hAnsi="微软雅黑" w:eastAsia="微软雅黑"/>
                <w:b w:val="0"/>
                <w:sz w:val="16"/>
              </w:rPr>
              <w:t>总包商</w:t>
            </w:r>
          </w:p>
        </w:tc>
        <w:tc>
          <w:tcPr>
            <w:tcW w:type="dxa" w:w="2608"/>
          </w:tcPr>
          <w:p>
            <w:pPr>
              <w:spacing w:after="40" w:before="40" w:line="283" w:lineRule="auto"/>
            </w:pPr>
            <w:r/>
            <w:r>
              <w:rPr>
                <w:rFonts w:ascii="微软雅黑" w:hAnsi="微软雅黑" w:eastAsia="微软雅黑"/>
                <w:b w:val="0"/>
                <w:sz w:val="16"/>
              </w:rPr>
              <w:t>RFP 2.3.1.19 的 SMS 报表与仪表板能否交付。</w:t>
            </w:r>
          </w:p>
        </w:tc>
        <w:tc>
          <w:tcPr>
            <w:tcW w:type="dxa" w:w="1701"/>
          </w:tcPr>
          <w:p>
            <w:pPr>
              <w:spacing w:after="40" w:before="40" w:line="283" w:lineRule="auto"/>
            </w:pPr>
            <w:r/>
            <w:r>
              <w:rPr>
                <w:rFonts w:ascii="微软雅黑" w:hAnsi="微软雅黑" w:eastAsia="微软雅黑"/>
                <w:b w:val="0"/>
                <w:sz w:val="16"/>
              </w:rPr>
              <w:t>联合体内明确</w:t>
            </w:r>
          </w:p>
        </w:tc>
      </w:tr>
      <w:tr>
        <w:tc>
          <w:tcPr>
            <w:tcW w:type="dxa" w:w="1077"/>
          </w:tcPr>
          <w:p>
            <w:pPr>
              <w:spacing w:after="40" w:before="40" w:line="283" w:lineRule="auto"/>
            </w:pPr>
            <w:r/>
            <w:r>
              <w:rPr>
                <w:rFonts w:ascii="微软雅黑" w:hAnsi="微软雅黑" w:eastAsia="微软雅黑"/>
                <w:b w:val="0"/>
                <w:sz w:val="16"/>
              </w:rPr>
              <w:t>IR-30</w:t>
              <w:br/>
              <w:br/>
              <w:t>高</w:t>
            </w:r>
          </w:p>
        </w:tc>
        <w:tc>
          <w:tcPr>
            <w:tcW w:type="dxa" w:w="2381"/>
          </w:tcPr>
          <w:p>
            <w:pPr>
              <w:spacing w:after="40" w:before="40" w:line="283" w:lineRule="auto"/>
            </w:pPr>
            <w:r/>
            <w:r>
              <w:rPr>
                <w:rFonts w:ascii="微软雅黑" w:hAnsi="微软雅黑" w:eastAsia="微软雅黑"/>
                <w:b w:val="0"/>
                <w:sz w:val="16"/>
              </w:rPr>
              <w:t>IRMS 的 BI 能力由本方还是 DS 的 CAD 承担</w:t>
            </w:r>
          </w:p>
        </w:tc>
        <w:tc>
          <w:tcPr>
            <w:tcW w:type="dxa" w:w="1077"/>
          </w:tcPr>
          <w:p>
            <w:pPr>
              <w:spacing w:after="40" w:before="40" w:line="283" w:lineRule="auto"/>
            </w:pPr>
            <w:r/>
            <w:r>
              <w:rPr>
                <w:rFonts w:ascii="微软雅黑" w:hAnsi="微软雅黑" w:eastAsia="微软雅黑"/>
                <w:b w:val="0"/>
                <w:sz w:val="16"/>
              </w:rPr>
              <w:t>总包商 + DS</w:t>
            </w:r>
          </w:p>
        </w:tc>
        <w:tc>
          <w:tcPr>
            <w:tcW w:type="dxa" w:w="2608"/>
          </w:tcPr>
          <w:p>
            <w:pPr>
              <w:spacing w:after="40" w:before="40" w:line="283" w:lineRule="auto"/>
            </w:pPr>
            <w:r/>
            <w:r>
              <w:rPr>
                <w:rFonts w:ascii="微软雅黑" w:hAnsi="微软雅黑" w:eastAsia="微软雅黑"/>
                <w:b w:val="0"/>
                <w:sz w:val="16"/>
              </w:rPr>
              <w:t>RFP 2.3.2.8。若两方各做一套，将出现两套指标口径。</w:t>
            </w:r>
          </w:p>
        </w:tc>
        <w:tc>
          <w:tcPr>
            <w:tcW w:type="dxa" w:w="1701"/>
          </w:tcPr>
          <w:p>
            <w:pPr>
              <w:spacing w:after="40" w:before="40" w:line="283" w:lineRule="auto"/>
            </w:pPr>
            <w:r/>
            <w:r>
              <w:rPr>
                <w:rFonts w:ascii="微软雅黑" w:hAnsi="微软雅黑" w:eastAsia="微软雅黑"/>
                <w:b w:val="0"/>
                <w:sz w:val="16"/>
              </w:rPr>
              <w:t>联合体内划界</w:t>
            </w:r>
          </w:p>
        </w:tc>
      </w:tr>
      <w:tr>
        <w:tc>
          <w:tcPr>
            <w:tcW w:type="dxa" w:w="1077"/>
          </w:tcPr>
          <w:p>
            <w:pPr>
              <w:spacing w:after="40" w:before="40" w:line="283" w:lineRule="auto"/>
            </w:pPr>
            <w:r/>
            <w:r>
              <w:rPr>
                <w:rFonts w:ascii="微软雅黑" w:hAnsi="微软雅黑" w:eastAsia="微软雅黑"/>
                <w:b w:val="0"/>
                <w:sz w:val="16"/>
              </w:rPr>
              <w:t>IR-31</w:t>
              <w:br/>
              <w:br/>
              <w:t>高</w:t>
            </w:r>
          </w:p>
        </w:tc>
        <w:tc>
          <w:tcPr>
            <w:tcW w:type="dxa" w:w="2381"/>
          </w:tcPr>
          <w:p>
            <w:pPr>
              <w:spacing w:after="40" w:before="40" w:line="283" w:lineRule="auto"/>
            </w:pPr>
            <w:r/>
            <w:r>
              <w:rPr>
                <w:rFonts w:ascii="微软雅黑" w:hAnsi="微软雅黑" w:eastAsia="微软雅黑"/>
                <w:b w:val="0"/>
                <w:sz w:val="16"/>
              </w:rPr>
              <w:t>POC 大屏上每一个元素是否有真实数据源支撑</w:t>
            </w:r>
          </w:p>
        </w:tc>
        <w:tc>
          <w:tcPr>
            <w:tcW w:type="dxa" w:w="1077"/>
          </w:tcPr>
          <w:p>
            <w:pPr>
              <w:spacing w:after="40" w:before="40" w:line="283" w:lineRule="auto"/>
            </w:pPr>
            <w:r/>
            <w:r>
              <w:rPr>
                <w:rFonts w:ascii="微软雅黑" w:hAnsi="微软雅黑" w:eastAsia="微软雅黑"/>
                <w:b w:val="0"/>
                <w:sz w:val="16"/>
              </w:rPr>
              <w:t>我方核对 + DS</w:t>
            </w:r>
          </w:p>
        </w:tc>
        <w:tc>
          <w:tcPr>
            <w:tcW w:type="dxa" w:w="2608"/>
          </w:tcPr>
          <w:p>
            <w:pPr>
              <w:spacing w:after="40" w:before="40" w:line="283" w:lineRule="auto"/>
            </w:pPr>
            <w:r/>
            <w:r>
              <w:rPr>
                <w:rFonts w:ascii="微软雅黑" w:hAnsi="微软雅黑" w:eastAsia="微软雅黑"/>
                <w:b w:val="0"/>
                <w:sz w:val="16"/>
              </w:rPr>
              <w:t>MOI 预期已被 POC 锚定，功能覆盖不得低于它。写死的数字不需要数据源，真实实现需要。</w:t>
            </w:r>
          </w:p>
        </w:tc>
        <w:tc>
          <w:tcPr>
            <w:tcW w:type="dxa" w:w="1701"/>
          </w:tcPr>
          <w:p>
            <w:pPr>
              <w:spacing w:after="40" w:before="40" w:line="283" w:lineRule="auto"/>
            </w:pPr>
            <w:r/>
            <w:r>
              <w:rPr>
                <w:rFonts w:ascii="微软雅黑" w:hAnsi="微软雅黑" w:eastAsia="微软雅黑"/>
                <w:b w:val="0"/>
                <w:sz w:val="16"/>
              </w:rPr>
              <w:t>按截图逐元素列表核对</w:t>
            </w:r>
          </w:p>
        </w:tc>
      </w:tr>
      <w:tr>
        <w:tc>
          <w:tcPr>
            <w:tcW w:type="dxa" w:w="1077"/>
          </w:tcPr>
          <w:p>
            <w:pPr>
              <w:spacing w:after="40" w:before="40" w:line="283" w:lineRule="auto"/>
            </w:pPr>
            <w:r/>
            <w:r>
              <w:rPr>
                <w:rFonts w:ascii="微软雅黑" w:hAnsi="微软雅黑" w:eastAsia="微软雅黑"/>
                <w:b w:val="0"/>
                <w:sz w:val="16"/>
              </w:rPr>
              <w:t>IR-32</w:t>
              <w:br/>
              <w:br/>
              <w:t>已关闭</w:t>
            </w:r>
          </w:p>
        </w:tc>
        <w:tc>
          <w:tcPr>
            <w:tcW w:type="dxa" w:w="2381"/>
          </w:tcPr>
          <w:p>
            <w:pPr>
              <w:spacing w:after="40" w:before="40" w:line="283" w:lineRule="auto"/>
            </w:pPr>
            <w:r/>
            <w:r>
              <w:rPr>
                <w:rFonts w:ascii="微软雅黑" w:hAnsi="微软雅黑" w:eastAsia="微软雅黑"/>
                <w:b w:val="0"/>
                <w:sz w:val="16"/>
              </w:rPr>
              <w:t>移动端推送路径的处置方式（原问题：接受仅前台查看、借用内部消息通道、或申请受控推送出口）</w:t>
            </w:r>
          </w:p>
        </w:tc>
        <w:tc>
          <w:tcPr>
            <w:tcW w:type="dxa" w:w="1077"/>
          </w:tcPr>
          <w:p>
            <w:pPr>
              <w:spacing w:after="40" w:before="40" w:line="283" w:lineRule="auto"/>
            </w:pPr>
            <w:r/>
            <w:r>
              <w:rPr>
                <w:rFonts w:ascii="微软雅黑" w:hAnsi="微软雅黑" w:eastAsia="微软雅黑"/>
                <w:b w:val="0"/>
                <w:sz w:val="16"/>
              </w:rPr>
              <w:t>MOI / 总包商</w:t>
            </w:r>
          </w:p>
        </w:tc>
        <w:tc>
          <w:tcPr>
            <w:tcW w:type="dxa" w:w="2608"/>
          </w:tcPr>
          <w:p>
            <w:pPr>
              <w:spacing w:after="40" w:before="40" w:line="283" w:lineRule="auto"/>
            </w:pPr>
            <w:r/>
            <w:r>
              <w:rPr>
                <w:rFonts w:ascii="微软雅黑" w:hAnsi="微软雅黑" w:eastAsia="微软雅黑"/>
                <w:b w:val="0"/>
                <w:sz w:val="16"/>
              </w:rPr>
              <w:t>已由 AS-09 的处置结论关闭。结论为不使用设备推送，告警经短信与邮件网关送达，移动端为拉取式管理看板。无须再问。</w:t>
            </w:r>
          </w:p>
        </w:tc>
        <w:tc>
          <w:tcPr>
            <w:tcW w:type="dxa" w:w="1701"/>
          </w:tcPr>
          <w:p>
            <w:pPr>
              <w:spacing w:after="40" w:before="40" w:line="283" w:lineRule="auto"/>
            </w:pPr>
            <w:r/>
            <w:r>
              <w:rPr>
                <w:rFonts w:ascii="微软雅黑" w:hAnsi="微软雅黑" w:eastAsia="微软雅黑"/>
                <w:b w:val="0"/>
                <w:sz w:val="16"/>
              </w:rPr>
              <w:t>—</w:t>
            </w:r>
          </w:p>
        </w:tc>
      </w:tr>
      <w:tr>
        <w:tc>
          <w:tcPr>
            <w:tcW w:type="dxa" w:w="1077"/>
          </w:tcPr>
          <w:p>
            <w:pPr>
              <w:spacing w:after="40" w:before="40" w:line="283" w:lineRule="auto"/>
            </w:pPr>
            <w:r/>
            <w:r>
              <w:rPr>
                <w:rFonts w:ascii="微软雅黑" w:hAnsi="微软雅黑" w:eastAsia="微软雅黑"/>
                <w:b w:val="0"/>
                <w:sz w:val="16"/>
              </w:rPr>
              <w:t>IR-33</w:t>
              <w:br/>
              <w:br/>
              <w:t>高</w:t>
            </w:r>
          </w:p>
        </w:tc>
        <w:tc>
          <w:tcPr>
            <w:tcW w:type="dxa" w:w="2381"/>
          </w:tcPr>
          <w:p>
            <w:pPr>
              <w:spacing w:after="40" w:before="40" w:line="283" w:lineRule="auto"/>
            </w:pPr>
            <w:r/>
            <w:r>
              <w:rPr>
                <w:rFonts w:ascii="微软雅黑" w:hAnsi="微软雅黑" w:eastAsia="微软雅黑"/>
                <w:b w:val="0"/>
                <w:sz w:val="16"/>
              </w:rPr>
              <w:t>四十张自定义报表与"复刻现有报表"的关系：是否为同一批</w:t>
            </w:r>
          </w:p>
        </w:tc>
        <w:tc>
          <w:tcPr>
            <w:tcW w:type="dxa" w:w="1077"/>
          </w:tcPr>
          <w:p>
            <w:pPr>
              <w:spacing w:after="40" w:before="40" w:line="283" w:lineRule="auto"/>
            </w:pPr>
            <w:r/>
            <w:r>
              <w:rPr>
                <w:rFonts w:ascii="微软雅黑" w:hAnsi="微软雅黑" w:eastAsia="微软雅黑"/>
                <w:b w:val="0"/>
                <w:sz w:val="16"/>
              </w:rPr>
              <w:t>MOI</w:t>
            </w:r>
          </w:p>
        </w:tc>
        <w:tc>
          <w:tcPr>
            <w:tcW w:type="dxa" w:w="2608"/>
          </w:tcPr>
          <w:p>
            <w:pPr>
              <w:spacing w:after="40" w:before="40" w:line="283" w:lineRule="auto"/>
            </w:pPr>
            <w:r/>
            <w:r>
              <w:rPr>
                <w:rFonts w:ascii="微软雅黑" w:hAnsi="微软雅黑" w:eastAsia="微软雅黑"/>
                <w:b w:val="0"/>
                <w:sz w:val="16"/>
              </w:rPr>
              <w:t>直接决定交付量。若另计，报表交付量可能接近翻倍。</w:t>
            </w:r>
          </w:p>
        </w:tc>
        <w:tc>
          <w:tcPr>
            <w:tcW w:type="dxa" w:w="1701"/>
          </w:tcPr>
          <w:p>
            <w:pPr>
              <w:spacing w:after="40" w:before="40" w:line="283" w:lineRule="auto"/>
            </w:pPr>
            <w:r/>
            <w:r>
              <w:rPr>
                <w:rFonts w:ascii="微软雅黑" w:hAnsi="微软雅黑" w:eastAsia="微软雅黑"/>
                <w:b w:val="0"/>
                <w:sz w:val="16"/>
              </w:rPr>
              <w:t>书面确认（建议经 Q&amp;A）</w:t>
            </w:r>
          </w:p>
        </w:tc>
      </w:tr>
      <w:tr>
        <w:tc>
          <w:tcPr>
            <w:tcW w:type="dxa" w:w="1077"/>
          </w:tcPr>
          <w:p>
            <w:pPr>
              <w:spacing w:after="40" w:before="40" w:line="283" w:lineRule="auto"/>
            </w:pPr>
            <w:r/>
            <w:r>
              <w:rPr>
                <w:rFonts w:ascii="微软雅黑" w:hAnsi="微软雅黑" w:eastAsia="微软雅黑"/>
                <w:b w:val="0"/>
                <w:sz w:val="16"/>
              </w:rPr>
              <w:t>IR-34</w:t>
              <w:br/>
              <w:br/>
              <w:t>高</w:t>
            </w:r>
          </w:p>
        </w:tc>
        <w:tc>
          <w:tcPr>
            <w:tcW w:type="dxa" w:w="2381"/>
          </w:tcPr>
          <w:p>
            <w:pPr>
              <w:spacing w:after="40" w:before="40" w:line="283" w:lineRule="auto"/>
            </w:pPr>
            <w:r/>
            <w:r>
              <w:rPr>
                <w:rFonts w:ascii="微软雅黑" w:hAnsi="微软雅黑" w:eastAsia="微软雅黑"/>
                <w:b w:val="0"/>
                <w:sz w:val="16"/>
              </w:rPr>
              <w:t>工作坊的轮次、参与范围与产出封顶方式</w:t>
            </w:r>
          </w:p>
        </w:tc>
        <w:tc>
          <w:tcPr>
            <w:tcW w:type="dxa" w:w="1077"/>
          </w:tcPr>
          <w:p>
            <w:pPr>
              <w:spacing w:after="40" w:before="40" w:line="283" w:lineRule="auto"/>
            </w:pPr>
            <w:r/>
            <w:r>
              <w:rPr>
                <w:rFonts w:ascii="微软雅黑" w:hAnsi="微软雅黑" w:eastAsia="微软雅黑"/>
                <w:b w:val="0"/>
                <w:sz w:val="16"/>
              </w:rPr>
              <w:t>MOI / 总包商</w:t>
            </w:r>
          </w:p>
        </w:tc>
        <w:tc>
          <w:tcPr>
            <w:tcW w:type="dxa" w:w="2608"/>
          </w:tcPr>
          <w:p>
            <w:pPr>
              <w:spacing w:after="40" w:before="40" w:line="283" w:lineRule="auto"/>
            </w:pPr>
            <w:r/>
            <w:r>
              <w:rPr>
                <w:rFonts w:ascii="微软雅黑" w:hAnsi="微软雅黑" w:eastAsia="微软雅黑"/>
                <w:b w:val="0"/>
                <w:sz w:val="16"/>
              </w:rPr>
              <w:t>RFP 1.6.2.9 / 1.6.2.20 / 1.6.2.28 / 1.6.2.30 均为"与 MOI 工作坊共同确定"的开口条款，工作量无上限。</w:t>
            </w:r>
          </w:p>
        </w:tc>
        <w:tc>
          <w:tcPr>
            <w:tcW w:type="dxa" w:w="1701"/>
          </w:tcPr>
          <w:p>
            <w:pPr>
              <w:spacing w:after="40" w:before="40" w:line="283" w:lineRule="auto"/>
            </w:pPr>
            <w:r/>
            <w:r>
              <w:rPr>
                <w:rFonts w:ascii="微软雅黑" w:hAnsi="微软雅黑" w:eastAsia="微软雅黑"/>
                <w:b w:val="0"/>
                <w:sz w:val="16"/>
              </w:rPr>
              <w:t>在分包合同中封顶</w:t>
            </w:r>
          </w:p>
        </w:tc>
      </w:tr>
      <w:tr>
        <w:tc>
          <w:tcPr>
            <w:tcW w:type="dxa" w:w="1077"/>
          </w:tcPr>
          <w:p>
            <w:pPr>
              <w:spacing w:after="40" w:before="40" w:line="283" w:lineRule="auto"/>
            </w:pPr>
            <w:r/>
            <w:r>
              <w:rPr>
                <w:rFonts w:ascii="微软雅黑" w:hAnsi="微软雅黑" w:eastAsia="微软雅黑"/>
                <w:b w:val="0"/>
                <w:sz w:val="16"/>
              </w:rPr>
              <w:t>IR-35</w:t>
              <w:br/>
              <w:br/>
              <w:t>中</w:t>
            </w:r>
          </w:p>
        </w:tc>
        <w:tc>
          <w:tcPr>
            <w:tcW w:type="dxa" w:w="2381"/>
          </w:tcPr>
          <w:p>
            <w:pPr>
              <w:spacing w:after="40" w:before="40" w:line="283" w:lineRule="auto"/>
            </w:pPr>
            <w:r/>
            <w:r>
              <w:rPr>
                <w:rFonts w:ascii="微软雅黑" w:hAnsi="微软雅黑" w:eastAsia="微软雅黑"/>
                <w:b w:val="0"/>
                <w:sz w:val="16"/>
              </w:rPr>
              <w:t>日切时刻的业务偏好；是否需要在报表上并列显示回历日期</w:t>
            </w:r>
          </w:p>
        </w:tc>
        <w:tc>
          <w:tcPr>
            <w:tcW w:type="dxa" w:w="1077"/>
          </w:tcPr>
          <w:p>
            <w:pPr>
              <w:spacing w:after="40" w:before="40" w:line="283" w:lineRule="auto"/>
            </w:pPr>
            <w:r/>
            <w:r>
              <w:rPr>
                <w:rFonts w:ascii="微软雅黑" w:hAnsi="微软雅黑" w:eastAsia="微软雅黑"/>
                <w:b w:val="0"/>
                <w:sz w:val="16"/>
              </w:rPr>
              <w:t>MOI 业务</w:t>
            </w:r>
          </w:p>
        </w:tc>
        <w:tc>
          <w:tcPr>
            <w:tcW w:type="dxa" w:w="2608"/>
          </w:tcPr>
          <w:p>
            <w:pPr>
              <w:spacing w:after="40" w:before="40" w:line="283" w:lineRule="auto"/>
            </w:pPr>
            <w:r/>
            <w:r>
              <w:rPr>
                <w:rFonts w:ascii="微软雅黑" w:hAnsi="微软雅黑" w:eastAsia="微软雅黑"/>
                <w:b w:val="0"/>
                <w:sz w:val="16"/>
              </w:rPr>
              <w:t>全部日粒度指标的口径。当前按 00:00 AST 切、封账建议 02:00。</w:t>
            </w:r>
          </w:p>
        </w:tc>
        <w:tc>
          <w:tcPr>
            <w:tcW w:type="dxa" w:w="1701"/>
          </w:tcPr>
          <w:p>
            <w:pPr>
              <w:spacing w:after="40" w:before="40" w:line="283" w:lineRule="auto"/>
            </w:pPr>
            <w:r/>
            <w:r>
              <w:rPr>
                <w:rFonts w:ascii="微软雅黑" w:hAnsi="微软雅黑" w:eastAsia="微软雅黑"/>
                <w:b w:val="0"/>
                <w:sz w:val="16"/>
              </w:rPr>
              <w:t>业务确认</w:t>
            </w:r>
          </w:p>
        </w:tc>
      </w:tr>
      <w:tr>
        <w:tc>
          <w:tcPr>
            <w:tcW w:type="dxa" w:w="1077"/>
          </w:tcPr>
          <w:p>
            <w:pPr>
              <w:spacing w:after="40" w:before="40" w:line="283" w:lineRule="auto"/>
            </w:pPr>
            <w:r/>
            <w:r>
              <w:rPr>
                <w:rFonts w:ascii="微软雅黑" w:hAnsi="微软雅黑" w:eastAsia="微软雅黑"/>
                <w:b w:val="0"/>
                <w:sz w:val="16"/>
              </w:rPr>
              <w:t>IR-36</w:t>
              <w:br/>
              <w:br/>
              <w:t>低</w:t>
            </w:r>
          </w:p>
        </w:tc>
        <w:tc>
          <w:tcPr>
            <w:tcW w:type="dxa" w:w="2381"/>
          </w:tcPr>
          <w:p>
            <w:pPr>
              <w:spacing w:after="40" w:before="40" w:line="283" w:lineRule="auto"/>
            </w:pPr>
            <w:r/>
            <w:r>
              <w:rPr>
                <w:rFonts w:ascii="微软雅黑" w:hAnsi="微软雅黑" w:eastAsia="微软雅黑"/>
                <w:b w:val="0"/>
                <w:sz w:val="16"/>
              </w:rPr>
              <w:t>联合作战 JOA 的 100 个席位是否需要接入本方 BI</w:t>
            </w:r>
          </w:p>
        </w:tc>
        <w:tc>
          <w:tcPr>
            <w:tcW w:type="dxa" w:w="1077"/>
          </w:tcPr>
          <w:p>
            <w:pPr>
              <w:spacing w:after="40" w:before="40" w:line="283" w:lineRule="auto"/>
            </w:pPr>
            <w:r/>
            <w:r>
              <w:rPr>
                <w:rFonts w:ascii="微软雅黑" w:hAnsi="微软雅黑" w:eastAsia="微软雅黑"/>
                <w:b w:val="0"/>
                <w:sz w:val="16"/>
              </w:rPr>
              <w:t>总包商</w:t>
            </w:r>
          </w:p>
        </w:tc>
        <w:tc>
          <w:tcPr>
            <w:tcW w:type="dxa" w:w="2608"/>
          </w:tcPr>
          <w:p>
            <w:pPr>
              <w:spacing w:after="40" w:before="40" w:line="283" w:lineRule="auto"/>
            </w:pPr>
            <w:r/>
            <w:r>
              <w:rPr>
                <w:rFonts w:ascii="微软雅黑" w:hAnsi="微软雅黑" w:eastAsia="微软雅黑"/>
                <w:b w:val="0"/>
                <w:sz w:val="16"/>
              </w:rPr>
              <w:t>RFP 2.7.3.3.2 的容量维度是否涉及本方的用户与权限模型。</w:t>
            </w:r>
          </w:p>
        </w:tc>
        <w:tc>
          <w:tcPr>
            <w:tcW w:type="dxa" w:w="1701"/>
          </w:tcPr>
          <w:p>
            <w:pPr>
              <w:spacing w:after="40" w:before="40" w:line="283" w:lineRule="auto"/>
            </w:pPr>
            <w:r/>
            <w:r>
              <w:rPr>
                <w:rFonts w:ascii="微软雅黑" w:hAnsi="微软雅黑" w:eastAsia="微软雅黑"/>
                <w:b w:val="0"/>
                <w:sz w:val="16"/>
              </w:rPr>
              <w:t>联合体内明确</w:t>
            </w:r>
          </w:p>
        </w:tc>
      </w:tr>
      <w:tr>
        <w:tc>
          <w:tcPr>
            <w:tcW w:type="dxa" w:w="1077"/>
          </w:tcPr>
          <w:p>
            <w:pPr>
              <w:spacing w:after="40" w:before="40" w:line="283" w:lineRule="auto"/>
            </w:pPr>
            <w:r/>
            <w:r>
              <w:rPr>
                <w:rFonts w:ascii="微软雅黑" w:hAnsi="微软雅黑" w:eastAsia="微软雅黑"/>
                <w:b w:val="0"/>
                <w:sz w:val="16"/>
              </w:rPr>
              <w:t>IR-37</w:t>
              <w:br/>
              <w:br/>
              <w:t>高</w:t>
            </w:r>
          </w:p>
        </w:tc>
        <w:tc>
          <w:tcPr>
            <w:tcW w:type="dxa" w:w="2381"/>
          </w:tcPr>
          <w:p>
            <w:pPr>
              <w:spacing w:after="40" w:before="40" w:line="283" w:lineRule="auto"/>
            </w:pPr>
            <w:r/>
            <w:r>
              <w:rPr>
                <w:rFonts w:ascii="微软雅黑" w:hAnsi="微软雅黑" w:eastAsia="微软雅黑"/>
                <w:b w:val="0"/>
                <w:sz w:val="16"/>
              </w:rPr>
              <w:t>移动端的分发与接入规范三项：MDM 的应用分发方式与签名要求；DMZ 反向代理的接入规范与可用端口；DMZ 至内网服务层的防火墙策略申请流程</w:t>
            </w:r>
          </w:p>
        </w:tc>
        <w:tc>
          <w:tcPr>
            <w:tcW w:type="dxa" w:w="1077"/>
          </w:tcPr>
          <w:p>
            <w:pPr>
              <w:spacing w:after="40" w:before="40" w:line="283" w:lineRule="auto"/>
            </w:pPr>
            <w:r/>
            <w:r>
              <w:rPr>
                <w:rFonts w:ascii="微软雅黑" w:hAnsi="微软雅黑" w:eastAsia="微软雅黑"/>
                <w:b w:val="0"/>
                <w:sz w:val="16"/>
              </w:rPr>
              <w:t>总包商</w:t>
            </w:r>
          </w:p>
        </w:tc>
        <w:tc>
          <w:tcPr>
            <w:tcW w:type="dxa" w:w="2608"/>
          </w:tcPr>
          <w:p>
            <w:pPr>
              <w:spacing w:after="40" w:before="40" w:line="283" w:lineRule="auto"/>
            </w:pPr>
            <w:r/>
            <w:r>
              <w:rPr>
                <w:rFonts w:ascii="微软雅黑" w:hAnsi="微软雅黑" w:eastAsia="微软雅黑"/>
                <w:b w:val="0"/>
                <w:sz w:val="16"/>
              </w:rPr>
              <w:t>移动端（IF-40）的实现方式、安全边界与上线排期。三项均不由本方控制，未答复则移动端无法进入联调。</w:t>
            </w:r>
          </w:p>
        </w:tc>
        <w:tc>
          <w:tcPr>
            <w:tcW w:type="dxa" w:w="1701"/>
          </w:tcPr>
          <w:p>
            <w:pPr>
              <w:spacing w:after="40" w:before="40" w:line="283" w:lineRule="auto"/>
            </w:pPr>
            <w:r/>
            <w:r>
              <w:rPr>
                <w:rFonts w:ascii="微软雅黑" w:hAnsi="微软雅黑" w:eastAsia="微软雅黑"/>
                <w:b w:val="0"/>
                <w:sz w:val="16"/>
              </w:rPr>
              <w:t>接口文件，与 IR-20、IR-21 同批发出</w:t>
            </w:r>
          </w:p>
        </w:tc>
      </w:tr>
      <w:tr>
        <w:tc>
          <w:tcPr>
            <w:tcW w:type="dxa" w:w="1077"/>
          </w:tcPr>
          <w:p>
            <w:pPr>
              <w:spacing w:after="40" w:before="40" w:line="283" w:lineRule="auto"/>
            </w:pPr>
            <w:r/>
            <w:r>
              <w:rPr>
                <w:rFonts w:ascii="微软雅黑" w:hAnsi="微软雅黑" w:eastAsia="微软雅黑"/>
                <w:b w:val="0"/>
                <w:sz w:val="16"/>
              </w:rPr>
              <w:t>IR-38</w:t>
              <w:br/>
              <w:br/>
              <w:t>高</w:t>
            </w:r>
          </w:p>
        </w:tc>
        <w:tc>
          <w:tcPr>
            <w:tcW w:type="dxa" w:w="2381"/>
          </w:tcPr>
          <w:p>
            <w:pPr>
              <w:spacing w:after="40" w:before="40" w:line="283" w:lineRule="auto"/>
            </w:pPr>
            <w:r/>
            <w:r>
              <w:rPr>
                <w:rFonts w:ascii="微软雅黑" w:hAnsi="微软雅黑" w:eastAsia="微软雅黑"/>
                <w:b w:val="0"/>
                <w:sz w:val="16"/>
              </w:rPr>
              <w:t>迁移范围内日志类数据的量级：现有系统的 system logs 与 access logs 八年累计的记录数与容量</w:t>
            </w:r>
          </w:p>
        </w:tc>
        <w:tc>
          <w:tcPr>
            <w:tcW w:type="dxa" w:w="1077"/>
          </w:tcPr>
          <w:p>
            <w:pPr>
              <w:spacing w:after="40" w:before="40" w:line="283" w:lineRule="auto"/>
            </w:pPr>
            <w:r/>
            <w:r>
              <w:rPr>
                <w:rFonts w:ascii="微软雅黑" w:hAnsi="微软雅黑" w:eastAsia="微软雅黑"/>
                <w:b w:val="0"/>
                <w:sz w:val="16"/>
              </w:rPr>
              <w:t>MOI / 现有运维方</w:t>
            </w:r>
          </w:p>
        </w:tc>
        <w:tc>
          <w:tcPr>
            <w:tcW w:type="dxa" w:w="2608"/>
          </w:tcPr>
          <w:p>
            <w:pPr>
              <w:spacing w:after="40" w:before="40" w:line="283" w:lineRule="auto"/>
            </w:pPr>
            <w:r/>
            <w:r>
              <w:rPr>
                <w:rFonts w:ascii="微软雅黑" w:hAnsi="微软雅黑" w:eastAsia="微软雅黑"/>
                <w:b w:val="0"/>
                <w:sz w:val="16"/>
              </w:rPr>
              <w:t>RFP 2.7.7.4 要求迁移范围含系统日志与访问日志，该量至今未估。它同时压着三件事：容量估算、迁移排期、以及是否需要引入列存加速层（DD-31 的触发条件之一）。</w:t>
            </w:r>
          </w:p>
        </w:tc>
        <w:tc>
          <w:tcPr>
            <w:tcW w:type="dxa" w:w="1701"/>
          </w:tcPr>
          <w:p>
            <w:pPr>
              <w:spacing w:after="40" w:before="40" w:line="283" w:lineRule="auto"/>
            </w:pPr>
            <w:r/>
            <w:r>
              <w:rPr>
                <w:rFonts w:ascii="微软雅黑" w:hAnsi="微软雅黑" w:eastAsia="微软雅黑"/>
                <w:b w:val="0"/>
                <w:sz w:val="16"/>
              </w:rPr>
              <w:t>与 IR-12 的升级记录同批向现有运维方索取</w:t>
            </w:r>
          </w:p>
        </w:tc>
      </w:tr>
      <w:tr>
        <w:tc>
          <w:tcPr>
            <w:tcW w:type="dxa" w:w="1077"/>
          </w:tcPr>
          <w:p>
            <w:pPr>
              <w:spacing w:after="40" w:before="40" w:line="283" w:lineRule="auto"/>
            </w:pPr>
            <w:r/>
            <w:r>
              <w:rPr>
                <w:rFonts w:ascii="微软雅黑" w:hAnsi="微软雅黑" w:eastAsia="微软雅黑"/>
                <w:b w:val="0"/>
                <w:sz w:val="16"/>
              </w:rPr>
              <w:t>IR-39</w:t>
              <w:br/>
              <w:br/>
              <w:t>高</w:t>
            </w:r>
          </w:p>
        </w:tc>
        <w:tc>
          <w:tcPr>
            <w:tcW w:type="dxa" w:w="2381"/>
          </w:tcPr>
          <w:p>
            <w:pPr>
              <w:spacing w:after="40" w:before="40" w:line="283" w:lineRule="auto"/>
            </w:pPr>
            <w:r/>
            <w:r>
              <w:rPr>
                <w:rFonts w:ascii="微软雅黑" w:hAnsi="微软雅黑" w:eastAsia="微软雅黑"/>
                <w:b w:val="0"/>
                <w:sz w:val="16"/>
              </w:rPr>
              <w:t>MOI 目录（AD）能否为调度员与主管增设部门组，以及可用的时间表。当前目录仅维护 call taker 与 dispatcher 两类角色，无部门信息</w:t>
            </w:r>
          </w:p>
        </w:tc>
        <w:tc>
          <w:tcPr>
            <w:tcW w:type="dxa" w:w="1077"/>
          </w:tcPr>
          <w:p>
            <w:pPr>
              <w:spacing w:after="40" w:before="40" w:line="283" w:lineRule="auto"/>
            </w:pPr>
            <w:r/>
            <w:r>
              <w:rPr>
                <w:rFonts w:ascii="微软雅黑" w:hAnsi="微软雅黑" w:eastAsia="微软雅黑"/>
                <w:b w:val="0"/>
                <w:sz w:val="16"/>
              </w:rPr>
              <w:t>MOI / 总包商</w:t>
            </w:r>
          </w:p>
        </w:tc>
        <w:tc>
          <w:tcPr>
            <w:tcW w:type="dxa" w:w="2608"/>
          </w:tcPr>
          <w:p>
            <w:pPr>
              <w:spacing w:after="40" w:before="40" w:line="283" w:lineRule="auto"/>
            </w:pPr>
            <w:r/>
            <w:r>
              <w:rPr>
                <w:rFonts w:ascii="微软雅黑" w:hAnsi="微软雅黑" w:eastAsia="微软雅黑"/>
                <w:b w:val="0"/>
                <w:sz w:val="16"/>
              </w:rPr>
              <w:t>DD-41 的权限数据长期权威来源。AD 就绪前本期以 M-06 本地映射表过渡，交付不被阻塞；但长期以业务系统或本地表承载授权数据不是正确做法。</w:t>
            </w:r>
          </w:p>
        </w:tc>
        <w:tc>
          <w:tcPr>
            <w:tcW w:type="dxa" w:w="1701"/>
          </w:tcPr>
          <w:p>
            <w:pPr>
              <w:spacing w:after="40" w:before="40" w:line="283" w:lineRule="auto"/>
            </w:pPr>
            <w:r/>
            <w:r>
              <w:rPr>
                <w:rFonts w:ascii="微软雅黑" w:hAnsi="微软雅黑" w:eastAsia="微软雅黑"/>
                <w:b w:val="0"/>
                <w:sz w:val="16"/>
              </w:rPr>
              <w:t>正式 Q&amp;A 或目录管理方对接</w:t>
            </w:r>
          </w:p>
        </w:tc>
      </w:tr>
      <w:tr>
        <w:tc>
          <w:tcPr>
            <w:tcW w:type="dxa" w:w="1077"/>
          </w:tcPr>
          <w:p>
            <w:pPr>
              <w:spacing w:after="40" w:before="40" w:line="283" w:lineRule="auto"/>
            </w:pPr>
            <w:r/>
            <w:r>
              <w:rPr>
                <w:rFonts w:ascii="微软雅黑" w:hAnsi="微软雅黑" w:eastAsia="微软雅黑"/>
                <w:b w:val="0"/>
                <w:sz w:val="16"/>
              </w:rPr>
              <w:t>IR-40</w:t>
              <w:br/>
              <w:br/>
              <w:t>高</w:t>
            </w:r>
          </w:p>
        </w:tc>
        <w:tc>
          <w:tcPr>
            <w:tcW w:type="dxa" w:w="2381"/>
          </w:tcPr>
          <w:p>
            <w:pPr>
              <w:spacing w:after="40" w:before="40" w:line="283" w:lineRule="auto"/>
            </w:pPr>
            <w:r/>
            <w:r>
              <w:rPr>
                <w:rFonts w:ascii="微软雅黑" w:hAnsi="微软雅黑" w:eastAsia="微软雅黑"/>
                <w:b w:val="0"/>
                <w:sz w:val="16"/>
              </w:rPr>
              <w:t>在岗调度员与主管的部门归属名册，及其与 CAD 处置单位编码的对应关系</w:t>
            </w:r>
          </w:p>
        </w:tc>
        <w:tc>
          <w:tcPr>
            <w:tcW w:type="dxa" w:w="1077"/>
          </w:tcPr>
          <w:p>
            <w:pPr>
              <w:spacing w:after="40" w:before="40" w:line="283" w:lineRule="auto"/>
            </w:pPr>
            <w:r/>
            <w:r>
              <w:rPr>
                <w:rFonts w:ascii="微软雅黑" w:hAnsi="微软雅黑" w:eastAsia="微软雅黑"/>
                <w:b w:val="0"/>
                <w:sz w:val="16"/>
              </w:rPr>
              <w:t>MOI 业务 + DS</w:t>
            </w:r>
          </w:p>
        </w:tc>
        <w:tc>
          <w:tcPr>
            <w:tcW w:type="dxa" w:w="2608"/>
          </w:tcPr>
          <w:p>
            <w:pPr>
              <w:spacing w:after="40" w:before="40" w:line="283" w:lineRule="auto"/>
            </w:pPr>
            <w:r/>
            <w:r>
              <w:rPr>
                <w:rFonts w:ascii="微软雅黑" w:hAnsi="微软雅黑" w:eastAsia="微软雅黑"/>
                <w:b w:val="0"/>
                <w:sz w:val="16"/>
              </w:rPr>
              <w:t>行级过滤的初始数据。权限侧部门与事实侧处置单位若编码不一致，过滤结果为空而非报错，属最难发现的一类缺陷。需在上线前完成完整性校验。</w:t>
            </w:r>
          </w:p>
        </w:tc>
        <w:tc>
          <w:tcPr>
            <w:tcW w:type="dxa" w:w="1701"/>
          </w:tcPr>
          <w:p>
            <w:pPr>
              <w:spacing w:after="40" w:before="40" w:line="283" w:lineRule="auto"/>
            </w:pPr>
            <w:r/>
            <w:r>
              <w:rPr>
                <w:rFonts w:ascii="微软雅黑" w:hAnsi="微软雅黑" w:eastAsia="微软雅黑"/>
                <w:b w:val="0"/>
                <w:sz w:val="16"/>
              </w:rPr>
              <w:t>与 IR-01 数据字典同批向 DS 索取编码体系；名册由 MOI 业务提供</w:t>
            </w:r>
          </w:p>
        </w:tc>
      </w:tr>
      <w:tr>
        <w:tc>
          <w:tcPr>
            <w:tcW w:type="dxa" w:w="1077"/>
          </w:tcPr>
          <w:p>
            <w:pPr>
              <w:spacing w:after="40" w:before="40" w:line="283" w:lineRule="auto"/>
            </w:pPr>
            <w:r/>
            <w:r>
              <w:rPr>
                <w:rFonts w:ascii="微软雅黑" w:hAnsi="微软雅黑" w:eastAsia="微软雅黑"/>
                <w:b w:val="0"/>
                <w:sz w:val="16"/>
              </w:rPr>
              <w:t>IR-41</w:t>
              <w:br/>
              <w:br/>
              <w:t>高</w:t>
            </w:r>
          </w:p>
        </w:tc>
        <w:tc>
          <w:tcPr>
            <w:tcW w:type="dxa" w:w="2381"/>
          </w:tcPr>
          <w:p>
            <w:pPr>
              <w:spacing w:after="40" w:before="40" w:line="283" w:lineRule="auto"/>
            </w:pPr>
            <w:r/>
            <w:r>
              <w:rPr>
                <w:rFonts w:ascii="微软雅黑" w:hAnsi="微软雅黑" w:eastAsia="微软雅黑"/>
                <w:b w:val="0"/>
                <w:sz w:val="16"/>
              </w:rPr>
              <w:t>CAD 对外部信息的落库形态，逐项确认三类：一、报警人位置是坐标还是地址文本，是否含精度与来源标记；二、人员与车辆信息是派单时的快照，还是带时间序列的状态记录；三、外部查询结果是全部持久化，还是仅在受理界面展示</w:t>
            </w:r>
          </w:p>
        </w:tc>
        <w:tc>
          <w:tcPr>
            <w:tcW w:type="dxa" w:w="1077"/>
          </w:tcPr>
          <w:p>
            <w:pPr>
              <w:spacing w:after="40" w:before="40" w:line="283" w:lineRule="auto"/>
            </w:pPr>
            <w:r/>
            <w:r>
              <w:rPr>
                <w:rFonts w:ascii="微软雅黑" w:hAnsi="微软雅黑" w:eastAsia="微软雅黑"/>
                <w:b w:val="0"/>
                <w:sz w:val="16"/>
              </w:rPr>
              <w:t>DS（并入数据字典 IR-01）</w:t>
            </w:r>
          </w:p>
        </w:tc>
        <w:tc>
          <w:tcPr>
            <w:tcW w:type="dxa" w:w="2608"/>
          </w:tcPr>
          <w:p>
            <w:pPr>
              <w:spacing w:after="40" w:before="40" w:line="283" w:lineRule="auto"/>
            </w:pPr>
            <w:r>
              <w:t>决定空间分析与资源类指标能否交付。位置若仅为地址文本则需地理编码，属新增工作量并依赖 HudHud；资源状态若仅有派单快照，则 M-R06 资源可用率无法计算，R-25 与 D-04 随之受影响。报警人位置为高敏感个人数据，其形态同时影响数据分类政策与字段可见性矩阵的默认取值。 ——【2026-10-13】CAD 数据视图结构说明已部分答复，未答部分并入 IR-50。</w:t>
            </w:r>
          </w:p>
        </w:tc>
        <w:tc>
          <w:tcPr>
            <w:tcW w:type="dxa" w:w="1701"/>
          </w:tcPr>
          <w:p>
            <w:pPr>
              <w:spacing w:after="40" w:before="40" w:line="283" w:lineRule="auto"/>
            </w:pPr>
            <w:r/>
            <w:r>
              <w:rPr>
                <w:rFonts w:ascii="微软雅黑" w:hAnsi="微软雅黑" w:eastAsia="微软雅黑"/>
                <w:b w:val="0"/>
                <w:sz w:val="16"/>
              </w:rPr>
              <w:t>与 IR-01 同批向 DS 索取，要求逐项答复</w:t>
            </w:r>
          </w:p>
        </w:tc>
      </w:tr>
      <w:tr>
        <w:tc>
          <w:tcPr>
            <w:tcW w:type="dxa" w:w="1077"/>
          </w:tcPr>
          <w:p>
            <w:pPr>
              <w:spacing w:after="40" w:before="40" w:line="283" w:lineRule="auto"/>
            </w:pPr>
            <w:r/>
            <w:r>
              <w:rPr>
                <w:rFonts w:ascii="微软雅黑" w:hAnsi="微软雅黑" w:eastAsia="微软雅黑"/>
                <w:b w:val="0"/>
                <w:sz w:val="16"/>
              </w:rPr>
              <w:t>IR-42</w:t>
              <w:br/>
              <w:br/>
              <w:t>高</w:t>
            </w:r>
          </w:p>
        </w:tc>
        <w:tc>
          <w:tcPr>
            <w:tcW w:type="dxa" w:w="2381"/>
          </w:tcPr>
          <w:p>
            <w:pPr>
              <w:spacing w:after="40" w:before="40" w:line="283" w:lineRule="auto"/>
            </w:pPr>
            <w:r/>
            <w:r>
              <w:rPr>
                <w:rFonts w:ascii="微软雅黑" w:hAnsi="微软雅黑" w:eastAsia="微软雅黑"/>
                <w:b w:val="0"/>
                <w:sz w:val="16"/>
              </w:rPr>
              <w:t>归档库（SQL Server）的三项技术细节：一、SQL Server 版本；二、时间字段用的是 datetime、datetime2 还是 datetimeoffset；三、阿拉伯语字段是 nvarchar 还是带阿语 collation 的 varchar</w:t>
            </w:r>
          </w:p>
        </w:tc>
        <w:tc>
          <w:tcPr>
            <w:tcW w:type="dxa" w:w="1077"/>
          </w:tcPr>
          <w:p>
            <w:pPr>
              <w:spacing w:after="40" w:before="40" w:line="283" w:lineRule="auto"/>
            </w:pPr>
            <w:r/>
            <w:r>
              <w:rPr>
                <w:rFonts w:ascii="微软雅黑" w:hAnsi="微软雅黑" w:eastAsia="微软雅黑"/>
                <w:b w:val="0"/>
                <w:sz w:val="16"/>
              </w:rPr>
              <w:t>DS / 现有运维方</w:t>
            </w:r>
          </w:p>
        </w:tc>
        <w:tc>
          <w:tcPr>
            <w:tcW w:type="dxa" w:w="2608"/>
          </w:tcPr>
          <w:p>
            <w:pPr>
              <w:spacing w:after="40" w:before="40" w:line="283" w:lineRule="auto"/>
            </w:pPr>
            <w:r/>
            <w:r>
              <w:rPr>
                <w:rFonts w:ascii="微软雅黑" w:hAnsi="微软雅黑" w:eastAsia="微软雅黑"/>
                <w:b w:val="0"/>
                <w:sz w:val="16"/>
              </w:rPr>
              <w:t>第二项直接决定 REQ-MIG-08「保留原始时区」如何应答——若源端为 datetime 则根本不存在时区信息，我方能保真的只是源端存的那个值，须在迁移方案中如实表述而非等验收时才发现。第一项决定驱动兼容性（datetimeoffset 自 SQL Server 2008 起才有）。第三项决定字符集转换在哪一层做。</w:t>
            </w:r>
          </w:p>
        </w:tc>
        <w:tc>
          <w:tcPr>
            <w:tcW w:type="dxa" w:w="1701"/>
          </w:tcPr>
          <w:p>
            <w:pPr>
              <w:spacing w:after="40" w:before="40" w:line="283" w:lineRule="auto"/>
            </w:pPr>
            <w:r/>
            <w:r>
              <w:rPr>
                <w:rFonts w:ascii="微软雅黑" w:hAnsi="微软雅黑" w:eastAsia="微软雅黑"/>
                <w:b w:val="0"/>
                <w:sz w:val="16"/>
              </w:rPr>
              <w:t>与 IR-01、IR-12 同批向 DS 与现有运维方索取</w:t>
            </w:r>
          </w:p>
        </w:tc>
      </w:tr>
      <w:tr>
        <w:tc>
          <w:tcPr>
            <w:tcW w:type="dxa" w:w="1077"/>
          </w:tcPr>
          <w:p>
            <w:pPr>
              <w:spacing w:after="40" w:before="40" w:line="283" w:lineRule="auto"/>
            </w:pPr>
            <w:r>
              <w:t>IR-43  高</w:t>
            </w:r>
          </w:p>
        </w:tc>
        <w:tc>
          <w:tcPr>
            <w:tcW w:type="dxa" w:w="2381"/>
          </w:tcPr>
          <w:p>
            <w:pPr>
              <w:spacing w:after="40" w:before="40" w:line="283" w:lineRule="auto"/>
            </w:pPr>
            <w:r>
              <w:t>归档库的物理形态：一、是单一数据库经历次原地升级（表结构为当前一套、旧行在后加字段上为空），还是多代系统的表集并存；二、是否留存任何 DDL 变更记录、发布说明或升级工单，哪怕不完整；三、若为原地升级，历次升级的大致时点</w:t>
            </w:r>
          </w:p>
        </w:tc>
        <w:tc>
          <w:tcPr>
            <w:tcW w:type="dxa" w:w="1077"/>
          </w:tcPr>
          <w:p>
            <w:pPr>
              <w:spacing w:after="40" w:before="40" w:line="283" w:lineRule="auto"/>
            </w:pPr>
            <w:r>
              <w:t>DS / 现有运维方</w:t>
            </w:r>
          </w:p>
        </w:tc>
        <w:tc>
          <w:tcPr>
            <w:tcW w:type="dxa" w:w="2608"/>
          </w:tcPr>
          <w:p>
            <w:pPr>
              <w:spacing w:after="40" w:before="40" w:line="283" w:lineRule="auto"/>
            </w:pPr>
            <w:r>
              <w:t>决定 raw 层的物理落法（DD-58）。若为原地升级，「按源端原样落地」就是一张表，版本号是 staging 推断出的标签；若为多代并存，则每代各落一张表。第二项即使只拿到片段，也能把 DD-37 的版本边界反推从「纯统计推断」降为「统计推断 + 已知锚点」，可靠性差别很大——AS-02 假设拿不到，但值得正式问一次而非默认没有。</w:t>
            </w:r>
          </w:p>
        </w:tc>
        <w:tc>
          <w:tcPr>
            <w:tcW w:type="dxa" w:w="1701"/>
          </w:tcPr>
          <w:p>
            <w:pPr>
              <w:spacing w:after="40" w:before="40" w:line="283" w:lineRule="auto"/>
            </w:pPr>
            <w:r>
              <w:t>与 IR-42 同批向 DS 与现有运维方索取，第二项明确说明「不完整也要」</w:t>
            </w:r>
          </w:p>
        </w:tc>
      </w:tr>
      <w:tr>
        <w:tc>
          <w:tcPr>
            <w:tcW w:type="dxa" w:w="1077"/>
          </w:tcPr>
          <w:p>
            <w:pPr>
              <w:spacing w:after="40" w:before="40" w:line="283" w:lineRule="auto"/>
            </w:pPr>
            <w:r>
              <w:t>IR-44  高</w:t>
            </w:r>
          </w:p>
        </w:tc>
        <w:tc>
          <w:tcPr>
            <w:tcW w:type="dxa" w:w="2381"/>
          </w:tcPr>
          <w:p>
            <w:pPr>
              <w:spacing w:after="40" w:before="40" w:line="283" w:lineRule="auto"/>
            </w:pPr>
            <w:r>
              <w:t>移动端并发规模：注册用户数、峰值并发会话数、是否经移动路径下载大附件。</w:t>
            </w:r>
          </w:p>
        </w:tc>
        <w:tc>
          <w:tcPr>
            <w:tcW w:type="dxa" w:w="1077"/>
          </w:tcPr>
          <w:p>
            <w:pPr>
              <w:spacing w:after="40" w:before="40" w:line="283" w:lineRule="auto"/>
            </w:pPr>
            <w:r>
              <w:t>MOI / 总包商</w:t>
            </w:r>
          </w:p>
        </w:tc>
        <w:tc>
          <w:tcPr>
            <w:tcW w:type="dxa" w:w="2608"/>
          </w:tcPr>
          <w:p>
            <w:pPr>
              <w:spacing w:after="40" w:before="40" w:line="283" w:lineRule="auto"/>
            </w:pPr>
            <w:r>
              <w:t>决定 DMZ 两台接入代理（各 4 vCPU、8 GB）的规格是否够用。只影响这一对代理，不影响其它虚机；但代理位于总包商运维的 DMZ 区内（CN-30），扩容不是本方可自行解决的事，故需在资源提交前取得。</w:t>
            </w:r>
          </w:p>
        </w:tc>
        <w:tc>
          <w:tcPr>
            <w:tcW w:type="dxa" w:w="1701"/>
          </w:tcPr>
          <w:p>
            <w:pPr>
              <w:spacing w:after="40" w:before="40" w:line="283" w:lineRule="auto"/>
            </w:pPr>
            <w:r>
              <w:t>随虚机资源需求表一并向总包商提出，与 T-32 同一问题的两处登记。</w:t>
            </w:r>
          </w:p>
        </w:tc>
      </w:tr>
      <w:tr>
        <w:tc>
          <w:tcPr>
            <w:tcW w:type="dxa" w:w="1077"/>
          </w:tcPr>
          <w:p>
            <w:pPr>
              <w:spacing w:after="40" w:before="40" w:line="283" w:lineRule="auto"/>
            </w:pPr>
            <w:r>
              <w:t>IR-45  高</w:t>
            </w:r>
          </w:p>
        </w:tc>
        <w:tc>
          <w:tcPr>
            <w:tcW w:type="dxa" w:w="2381"/>
          </w:tcPr>
          <w:p>
            <w:pPr>
              <w:spacing w:after="40" w:before="40" w:line="283" w:lineRule="auto"/>
            </w:pPr>
            <w:r>
              <w:t>CMS 服务账号的 token 有效期；同一坐席工号的并发会话是否互斥；CMS 侧是否存在调用频次或配额限制。另须问清（2026-10-13 补充，来自开发机比对接口文档）：一、下载话单需要什么账号——文档一处写须系统管理员鉴权（错误码 300-013），另一处写只有具质检权限的 VDN 用户才能鉴权成功，字面互斥；二、请求参数 startTime / endTime 按 UTC 还是本地时间解释；三、窗口边界是闭区间还是半开区间；四、单次返回的行数是否有上限、超出时是否静默截断；五、CALLID 的唯一范围——跨天或平台重启后是否会重复。</w:t>
            </w:r>
          </w:p>
        </w:tc>
        <w:tc>
          <w:tcPr>
            <w:tcW w:type="dxa" w:w="1077"/>
          </w:tcPr>
          <w:p>
            <w:pPr>
              <w:spacing w:after="40" w:before="40" w:line="283" w:lineRule="auto"/>
            </w:pPr>
            <w:r>
              <w:t>ICP 运维方 / 总包商</w:t>
            </w:r>
          </w:p>
        </w:tc>
        <w:tc>
          <w:tcPr>
            <w:tcW w:type="dxa" w:w="2608"/>
          </w:tcPr>
          <w:p>
            <w:pPr>
              <w:spacing w:after="40" w:before="40" w:line="283" w:lineRule="auto"/>
            </w:pPr>
            <w:r>
              <w:t>决定 LD-01 4.7 的鉴权实现与 4.5 的轮询周期取值。若同一工号的并发会话互斥，人工以该工号登录会把接入作业踢下线——这类故障会在验收演示当天发作。拿到答复前按「token 随时可能失效」实现。 补充五项中，第一项不问清，整条链路可能在鉴权一步就走不通；第二至五项一旦猜错都不报错，只会少数据或错位，其中第五项若会重复，(CALLID, CALLIDNUM) 作为幂等键即不成立，不同的通话会被当作同一张话单的新观测。</w:t>
            </w:r>
          </w:p>
        </w:tc>
        <w:tc>
          <w:tcPr>
            <w:tcW w:type="dxa" w:w="1701"/>
          </w:tcPr>
          <w:p>
            <w:pPr>
              <w:spacing w:after="40" w:before="40" w:line="283" w:lineRule="auto"/>
            </w:pPr>
            <w:r>
              <w:t>随 ICP 接口联调一并提出；本项可由 ICP 侧实测给出，不必等书面规格。</w:t>
            </w:r>
          </w:p>
        </w:tc>
      </w:tr>
      <w:tr>
        <w:tc>
          <w:tcPr>
            <w:tcW w:type="dxa" w:w="1077"/>
          </w:tcPr>
          <w:p>
            <w:pPr>
              <w:spacing w:after="40" w:before="40" w:line="283" w:lineRule="auto"/>
            </w:pPr>
            <w:r>
              <w:t>IR-46  高</w:t>
            </w:r>
          </w:p>
        </w:tc>
        <w:tc>
          <w:tcPr>
            <w:tcW w:type="dxa" w:w="2381"/>
          </w:tcPr>
          <w:p>
            <w:pPr>
              <w:spacing w:after="40" w:before="40" w:line="283" w:lineRule="auto"/>
            </w:pPr>
            <w:r>
              <w:t>骚扰或恶意呼叫的标记由谁产生、存在哪里（话务台还是 CAD），以及话单中的主叫号码是否按隐私策略做过掩码或匿名。</w:t>
            </w:r>
          </w:p>
        </w:tc>
        <w:tc>
          <w:tcPr>
            <w:tcW w:type="dxa" w:w="1077"/>
          </w:tcPr>
          <w:p>
            <w:pPr>
              <w:spacing w:after="40" w:before="40" w:line="283" w:lineRule="auto"/>
            </w:pPr>
            <w:r>
              <w:t>MOI / 总包商 / ICP 运维方</w:t>
            </w:r>
          </w:p>
        </w:tc>
        <w:tc>
          <w:tcPr>
            <w:tcW w:type="dxa" w:w="2608"/>
          </w:tcPr>
          <w:p>
            <w:pPr>
              <w:spacing w:after="40" w:before="40" w:line="283" w:lineRule="auto"/>
            </w:pPr>
            <w:r>
              <w:t>M-C14 骚扰呼叫数在话单与平台指标中都没有来源，标记不找到就不发布，R-07 的骚扰部分随之缺一块。主叫号码若被掩码，M-C15 同一主叫失败次数的分组键失效，R-06 整张报表不成立。</w:t>
            </w:r>
          </w:p>
        </w:tc>
        <w:tc>
          <w:tcPr>
            <w:tcW w:type="dxa" w:w="1701"/>
          </w:tcPr>
          <w:p>
            <w:pPr>
              <w:spacing w:after="40" w:before="40" w:line="283" w:lineRule="auto"/>
            </w:pPr>
            <w:r>
              <w:t>随 ICP 接口联调提出；主叫号码一项可直接用一天的话单样本看出来。</w:t>
            </w:r>
          </w:p>
        </w:tc>
      </w:tr>
      <w:tr>
        <w:tc>
          <w:tcPr>
            <w:tcW w:type="dxa" w:w="1077"/>
          </w:tcPr>
          <w:p>
            <w:pPr>
              <w:spacing w:after="40" w:before="40" w:line="283" w:lineRule="auto"/>
            </w:pPr>
            <w:r>
              <w:t>IR-47  高</w:t>
            </w:r>
          </w:p>
        </w:tc>
        <w:tc>
          <w:tcPr>
            <w:tcW w:type="dxa" w:w="2381"/>
          </w:tcPr>
          <w:p>
            <w:pPr>
              <w:spacing w:after="40" w:before="40" w:line="283" w:lineRule="auto"/>
            </w:pPr>
            <w:r>
              <w:t>生产虚机按什么基线交付：是总包商/MOI 的标准化基线镜像（含安全加固策略、备份代理、监控代理、域加入、补丁通道），还是按 ISO 全新安装的裸机？若为标准基线，需取得其已装包清单。</w:t>
            </w:r>
          </w:p>
        </w:tc>
        <w:tc>
          <w:tcPr>
            <w:tcW w:type="dxa" w:w="1077"/>
          </w:tcPr>
          <w:p>
            <w:pPr>
              <w:spacing w:after="40" w:before="40" w:line="283" w:lineRule="auto"/>
            </w:pPr>
            <w:r>
              <w:t>MOI / 总包商</w:t>
            </w:r>
          </w:p>
        </w:tc>
        <w:tc>
          <w:tcPr>
            <w:tcW w:type="dxa" w:w="2608"/>
          </w:tcPr>
          <w:p>
            <w:pPr>
              <w:spacing w:after="40" w:before="40" w:line="283" w:lineRule="auto"/>
            </w:pPr>
            <w:r>
              <w:t>决定两件事。一、离网介质中 apt 依赖闭包按什么底座解析——`apt-get --print-uris` 只列出当前机器还缺的包，底座不同闭包就不完整，而这种缺失只会在现场装机时才暴露。二、我方能否以虚机镜像形态交付（若平台有自己的基线与补丁通道，自制镜像不可能通过安全审计）。阻塞 runbook/90 的介质定稿。</w:t>
            </w:r>
          </w:p>
        </w:tc>
        <w:tc>
          <w:tcPr>
            <w:tcW w:type="dxa" w:w="1701"/>
          </w:tcPr>
          <w:p>
            <w:pPr>
              <w:spacing w:after="40" w:before="40" w:line="283" w:lineRule="auto"/>
            </w:pPr>
            <w:r>
              <w:t>随介质导入流程（IR-48）一并向总包商提出。若给出标准基线，请一并提供 `dpkg-query -W` 的输出，我方据此重算闭包。</w:t>
            </w:r>
          </w:p>
        </w:tc>
      </w:tr>
      <w:tr>
        <w:tc>
          <w:tcPr>
            <w:tcW w:type="dxa" w:w="1077"/>
          </w:tcPr>
          <w:p>
            <w:pPr>
              <w:spacing w:after="40" w:before="40" w:line="283" w:lineRule="auto"/>
            </w:pPr>
            <w:r>
              <w:t>IR-48  高</w:t>
            </w:r>
          </w:p>
        </w:tc>
        <w:tc>
          <w:tcPr>
            <w:tcW w:type="dxa" w:w="2381"/>
          </w:tcPr>
          <w:p>
            <w:pPr>
              <w:spacing w:after="40" w:before="40" w:line="283" w:lineRule="auto"/>
            </w:pPr>
            <w:r>
              <w:t>离网介质的导入流程：允许的介质形态与数量、单次体积上限、报批提前期、现场由谁执行；以及**病毒扫描网关是否会改写文件内容**（例如将压缩包解开后重新打包）。</w:t>
            </w:r>
          </w:p>
        </w:tc>
        <w:tc>
          <w:tcPr>
            <w:tcW w:type="dxa" w:w="1077"/>
          </w:tcPr>
          <w:p>
            <w:pPr>
              <w:spacing w:after="40" w:before="40" w:line="283" w:lineRule="auto"/>
            </w:pPr>
            <w:r>
              <w:t>MOI / 总包商</w:t>
            </w:r>
          </w:p>
        </w:tc>
        <w:tc>
          <w:tcPr>
            <w:tcW w:type="dxa" w:w="2608"/>
          </w:tcPr>
          <w:p>
            <w:pPr>
              <w:spacing w:after="40" w:before="40" w:line="283" w:lineRule="auto"/>
            </w:pPr>
            <w:r>
              <w:t>MOI 内网没有 apt / PyPI / 容器镜像仓库，全部物料须由介质携带（runbook/90）。扫描网关若重新打包压缩文件，字节即发生变化，我方签名的 SHA256SUMS 与容器镜像的 digest 复验会全部失败——而这类问题在现场才发现通常要花数天。体积上限与报批提前期决定介质如何切分与何时送审。</w:t>
            </w:r>
          </w:p>
        </w:tc>
        <w:tc>
          <w:tcPr>
            <w:tcW w:type="dxa" w:w="1701"/>
          </w:tcPr>
          <w:p>
            <w:pPr>
              <w:spacing w:after="40" w:before="40" w:line="283" w:lineRule="auto"/>
            </w:pPr>
            <w:r>
              <w:t>书面提出，并请求在正式交付前做一次**小样试导**（几十 MB 的测试目录加 SHA256SUMS），用实际结果确认校验和能否穿过网关。</w:t>
            </w:r>
          </w:p>
        </w:tc>
      </w:tr>
      <w:tr>
        <w:tc>
          <w:tcPr>
            <w:tcW w:type="dxa" w:w="1077"/>
          </w:tcPr>
          <w:p>
            <w:pPr>
              <w:spacing w:after="40" w:before="40" w:line="283" w:lineRule="auto"/>
            </w:pPr>
            <w:r>
              <w:t>IR-49  高</w:t>
            </w:r>
          </w:p>
        </w:tc>
        <w:tc>
          <w:tcPr>
            <w:tcW w:type="dxa" w:w="2381"/>
          </w:tcPr>
          <w:p>
            <w:pPr>
              <w:spacing w:after="40" w:before="40" w:line="283" w:lineRule="auto"/>
            </w:pPr>
            <w:r>
              <w:t>AD FS 侧的对接规格：开放的协议与端点（OIDC / SAML 2.0 / WS-Fed）、元数据 URL、声明清单（须含一个不可变标识如 objectGUID，以及显示名、邮箱、组成员）、令牌签名证书的轮换策略与周期、可用于联调的测试账号。</w:t>
            </w:r>
          </w:p>
        </w:tc>
        <w:tc>
          <w:tcPr>
            <w:tcW w:type="dxa" w:w="1077"/>
          </w:tcPr>
          <w:p>
            <w:pPr>
              <w:spacing w:after="40" w:before="40" w:line="283" w:lineRule="auto"/>
            </w:pPr>
            <w:r>
              <w:t>MOI 身份团队 / 总包商</w:t>
            </w:r>
          </w:p>
        </w:tc>
        <w:tc>
          <w:tcPr>
            <w:tcW w:type="dxa" w:w="2608"/>
          </w:tcPr>
          <w:p>
            <w:pPr>
              <w:spacing w:after="40" w:before="40" w:line="283" w:lineRule="auto"/>
            </w:pPr>
            <w:r>
              <w:t>决定 LD-07 6.3 的协议实现与 6.5 的证书轮换运维条目。三处风险：只开放 SAML 2.0 时声明名称与格式随之不同；声明里若没有不可变标识，人员改名或调岗会使 Keycloak 把同一个人当成新用户，此前的授权与审计关联断开；无测试账号则 Keycloak 与 AD FS 的联调无法开始。元数据 URL 还须在生产网内可达，否则证书轮换当天全部登录同时失败。</w:t>
            </w:r>
          </w:p>
        </w:tc>
        <w:tc>
          <w:tcPr>
            <w:tcW w:type="dxa" w:w="1701"/>
          </w:tcPr>
          <w:p>
            <w:pPr>
              <w:spacing w:after="40" w:before="40" w:line="283" w:lineRule="auto"/>
            </w:pPr>
            <w:r>
              <w:t>请 MOI 身份团队直接提供 AD FS 的联邦元数据文档与一份声明规则示例；测试账号两个（一个普通调度员组、一个主管组），用于验证角色映射。</w:t>
            </w:r>
          </w:p>
        </w:tc>
      </w:tr>
      <w:tr>
        <w:tc>
          <w:tcPr>
            <w:tcW w:type="dxa" w:w="1077"/>
          </w:tcPr>
          <w:p>
            <w:pPr>
              <w:spacing w:after="40" w:before="40" w:line="283" w:lineRule="auto"/>
            </w:pPr>
            <w:r>
              <w:t>IR-50  高</w:t>
            </w:r>
          </w:p>
        </w:tc>
        <w:tc>
          <w:tcPr>
            <w:tcW w:type="dxa" w:w="2381"/>
          </w:tcPr>
          <w:p>
            <w:pPr>
              <w:spacing w:after="40" w:before="40" w:line="283" w:lineRule="auto"/>
            </w:pPr>
            <w:r>
              <w:t>CAD 数据视图的澄清：缺失的两张字典表（t_dm_ay 案由、t_bd_dw 单位）、全部 t_dm_* 字典的取值、视图列名与访问方式、sjc 是否随原地更新刷新、物理删除、时区与坐标系、单据层级与基数、事件合并与转警、解除结案后结案时间以哪次为准、与华为话单 CALLID 对应的字段、unit 状态历史、报警人信息是否掩码。共 29 项，见 queries/CAD_Data_View_Clarification_Questions.xlsx。 ——【2026-10-15 DS 答复，2026-10-19 评估】29 项中约 18 项答清、7 项部分、4 项未答，答复件见 queries/CAD_Data_View_Clarification_Questions_Answered_2026-10-15.xlsx，结构表新版多一页 Table Lists（74 张表的英文视图名）。已答清并可直接采用：视图名用 Table Lists 英文名、列名用翻译列；全部本地时间；单据链 t_ContactEvent → t_CommonEvent → t_AgencyEvent → t_UnitInstruction → t_FeedbackRecord，统计以 t_AgencyEvent 为准；合并与转警原单保留并置取消，取消与暂存不计入警情量；结案时间只在 t_EventClosure、解除结案后以最后一次为准；不物理删除、永久保留；unit 状态覆盖更新而 t_UnitOperation 完整记录；hrbh 对应 CALLID；个人信息原样提供；字典名称只有阿语；14 张 t_dm_* 字典的取值已在结构表各页签下半部分（本方第一轮问 Q03、Q05 时看漏，属本方失误）；同意开放开发测试环境只读访问。两项与约定不符或改变设计：答复称展示库为 SQL Server——本方按约定要求以 PostgreSQL 提供，已在第二轮第 1 条提出，LD-01 第 3 章暂不改；sjc 由应用写入、存在改数据不更新时间戳的情况——LD-01 8.3 的滚动窗口校验由加固措施升为必需项，待 DS 答复哪些操作不更新 sjc 后登记 DD。仍缺：案由两个视图 VW_Get_EventType / VW_Get_EventSubType 的结构与取值、t_bd_dw、坐标系、hwhrbh 含义、CAD 工号与华为工号是否同套、测试环境连接信息。第二轮 15 条已于 2026-10-19 发出。 ——【2026-10-25 第二轮答复】sjc：操作不限、无统计，「不要依赖时间戳判别变更」——DD-90 的触发器时间戳由此成为唯一可行路径，回扫维持必需项；视图中 sjc 为 datetime 本地时间。单据链补全：t_jzsjd → t_cjd（每次派遣一张）→ t_unitddzld（每 unit 一张）→ t_fkd，一对多。案由两视图以表同步；t_bd_dw 为基础数据、层级靠 code 结构（code 编法待 DDL 阶段问清）；坐标暂定 WGS84 经纬度（AS-35）；hwhrbh 为废弃字段；CLOSE = 100、CANCEL = 110；t_dm_czlx 对应 t_sjczjl（时间线）的 OperateType，与 t_unitczjl 无关，后者只记状态变更；dzsfzq / dzly / sfdzfl 为字典项、后续提供三张表；74 张表之外的视情况补充。接警员工号与华为工号是否同套「看现场维护人员」、DS 不保证——转为 IR-53 向 MOI 提出。仍未答：测试环境连接信息、解除结案后事件状态回到何值、t_unitczjl 的状态取值是否即 t_dm_unitztlx。</w:t>
            </w:r>
          </w:p>
        </w:tc>
        <w:tc>
          <w:tcPr>
            <w:tcW w:type="dxa" w:w="1077"/>
          </w:tcPr>
          <w:p>
            <w:pPr>
              <w:spacing w:after="40" w:before="40" w:line="283" w:lineRule="auto"/>
            </w:pPr>
            <w:r>
              <w:t>DS（CAD 方）/ 总包商</w:t>
            </w:r>
          </w:p>
        </w:tc>
        <w:tc>
          <w:tcPr>
            <w:tcW w:type="dxa" w:w="2608"/>
          </w:tcPr>
          <w:p>
            <w:pPr>
              <w:spacing w:after="40" w:before="40" w:line="283" w:lineRule="auto"/>
            </w:pPr>
            <w:r>
              <w:t>决定 DS 接入契约与 core 中受理、派警、出警、反馈四类事实表的粒度与关联。其中四项决定数据模型能否定稿：两张缺失的字典表、解除结案后的结案时间、与华为话单的关联字段。本项同时部分答复了 IR-01、IR-02（已有时间戳列 sjc 与完整数据字典）与 IR-41（报警位置有经纬度与坐标类型；unit 有上下岗与操作历史表），各该项未答部分并入本项。</w:t>
            </w:r>
          </w:p>
        </w:tc>
        <w:tc>
          <w:tcPr>
            <w:tcW w:type="dxa" w:w="1701"/>
          </w:tcPr>
          <w:p>
            <w:pPr>
              <w:spacing w:after="40" w:before="40" w:line="283" w:lineRule="auto"/>
            </w:pPr>
            <w:r>
              <w:t>以问题单（Excel，中英对照）发出，对方在表内填写答复。答复前 ICP 话务链路照常推进，不受影响。</w:t>
            </w:r>
          </w:p>
        </w:tc>
      </w:tr>
      <w:tr>
        <w:tc>
          <w:tcPr>
            <w:tcW w:type="dxa" w:w="1077"/>
          </w:tcPr>
          <w:p>
            <w:pPr>
              <w:spacing w:after="40" w:before="40" w:line="283" w:lineRule="auto"/>
            </w:pPr>
            <w:r>
              <w:t>IR-51  高</w:t>
            </w:r>
          </w:p>
        </w:tc>
        <w:tc>
          <w:tcPr>
            <w:tcW w:type="dxa" w:w="2381"/>
          </w:tcPr>
          <w:p>
            <w:pPr>
              <w:spacing w:after="40" w:before="40" w:line="283" w:lineRule="auto"/>
            </w:pPr>
            <w:r>
              <w:t>中间库方案（DD-90）需 DS 答复：一、74 张表的 DDL（PostgreSQL 语法，英文表名与列名，含主键、类型、注释），以及案由两个视图与 t_bd_dw 的结构；二、同步频率与单次延迟上限；三、写入方式确认为按主键 UPSERT、不 TRUNCATE、不整表重载；四、本方集群不可用时 DS 侧的重试与缓冲策略；五、历史数据的首次全量灌入范围（自 CAD 上线起？）与方式；六、CAD 源端按日计数的提供方式，供本方对账；七、是否同样向本方开发环境推送一份。 ——【2026-10-19 更正】Gavin 告知 CAD 自身的库即为 PostgreSQL，SQL Server 为上一代 BI 工具附带的中间层；跨产品转换不存在。第一项改为：提供 CAD 原库的 PG DDL 原样（pg_dump --schema-only），本方只改名不改型。补两项：八、同步程序是否经 CSV / ORM 中转，大小写、尾随空格、空串与 NULL 是否原样保留；九、原库各表的排序规则（同产品下通常一致，确认即可）。 ——【2026-10-25 更正】Gavin 告知：上一代中间库的 DDL 由当时的 BI 方建、DS 只负责写入。故第一项改为：DDL 由本方按结构表生成，DS 核对主键、列齐全、类型并会签；新增：CAD 原库完整目录（information_schema.columns 导出），以判断 74 张表是否为上一代 BI 选定的子集、是否需增加表列——这是 DD-04「未定义的字段根本进不来」的直接风险点。 ——【2026-10-26】第二项已答复：每张表第一列即主键（结构表 Source Index 1）。本方据此生成 74 张表 DDL（tools/cad_mirror_ddl.py，列目录 contracts/cad_mirror_catalog.csv）。待 DS 顺带确认两处：t_dhhrjl 以 hrbh（华为 CALLID）为主键，是否意味着 CALLID 在 CAD 范围内不重复；t_sld 主键 sldbh 的说明「event 数据时为首次受理单编号」是否会使同一编号出现多行。另：t_sld、t_gb、t_rms_xyjhjz、t_rms_zzdy_sb 四张表的 Source Index 有跳号（17、5、5、3），是否为有意删去的列。</w:t>
            </w:r>
          </w:p>
        </w:tc>
        <w:tc>
          <w:tcPr>
            <w:tcW w:type="dxa" w:w="1077"/>
          </w:tcPr>
          <w:p>
            <w:pPr>
              <w:spacing w:after="40" w:before="40" w:line="283" w:lineRule="auto"/>
            </w:pPr>
            <w:r>
              <w:t>DS（CAD 方）</w:t>
            </w:r>
          </w:p>
        </w:tc>
        <w:tc>
          <w:tcPr>
            <w:tcW w:type="dxa" w:w="2608"/>
          </w:tcPr>
          <w:p>
            <w:pPr>
              <w:spacing w:after="40" w:before="40" w:line="283" w:lineRule="auto"/>
            </w:pPr>
            <w:r>
              <w:t>这七项都写在发给 DS 的中间库规范里，是规范的空白处。第一项不到，契约写不出；第三项不确认，触发器时间戳与哈希回扫会被整表重载打成全量伪变更；第六项不到，本方永远只能证明「与中间库一致」，证明不了「与 CAD 一致」。</w:t>
            </w:r>
          </w:p>
        </w:tc>
        <w:tc>
          <w:tcPr>
            <w:tcW w:type="dxa" w:w="1701"/>
          </w:tcPr>
          <w:p>
            <w:pPr>
              <w:spacing w:after="40" w:before="40" w:line="283" w:lineRule="auto"/>
            </w:pPr>
            <w:r>
              <w:t>随中间库规范（queries/CAD_Mirror_Database_Specification.docx）一并发出，要求书面答复并在规范上会签。</w:t>
            </w:r>
          </w:p>
        </w:tc>
      </w:tr>
      <w:tr>
        <w:tc>
          <w:tcPr>
            <w:tcW w:type="dxa" w:w="1077"/>
          </w:tcPr>
          <w:p>
            <w:pPr>
              <w:spacing w:after="40" w:before="40" w:line="283" w:lineRule="auto"/>
            </w:pPr>
            <w:r>
              <w:t>IR-52  高</w:t>
            </w:r>
          </w:p>
        </w:tc>
        <w:tc>
          <w:tcPr>
            <w:tcW w:type="dxa" w:w="2381"/>
          </w:tcPr>
          <w:p>
            <w:pPr>
              <w:spacing w:after="40" w:before="40" w:line="283" w:lineRule="auto"/>
            </w:pPr>
            <w:r>
              <w:t>CAD 区到本方数据库区的入向写入网络通道（源地址、目标 pgBouncer 端口、协议 TLS）的审批与开通流程；由谁提交、MOI 哪个部门批、周期多长。</w:t>
            </w:r>
          </w:p>
        </w:tc>
        <w:tc>
          <w:tcPr>
            <w:tcW w:type="dxa" w:w="1077"/>
          </w:tcPr>
          <w:p>
            <w:pPr>
              <w:spacing w:after="40" w:before="40" w:line="283" w:lineRule="auto"/>
            </w:pPr>
            <w:r>
              <w:t>总包商 / MOI</w:t>
            </w:r>
          </w:p>
        </w:tc>
        <w:tc>
          <w:tcPr>
            <w:tcW w:type="dxa" w:w="2608"/>
          </w:tcPr>
          <w:p>
            <w:pPr>
              <w:spacing w:after="40" w:before="40" w:line="283" w:lineRule="auto"/>
            </w:pPr>
            <w:r>
              <w:t>中间库方案成立的物理前提。此前设计只有本方出向读取 DS 展示库，入向写入是新增的安全边界变化，属 CN-13/14 同类前置门。审批周期若以月计，开发期只能以 DS 交付的数据转储代替推送。</w:t>
            </w:r>
          </w:p>
        </w:tc>
        <w:tc>
          <w:tcPr>
            <w:tcW w:type="dxa" w:w="1701"/>
          </w:tcPr>
          <w:p>
            <w:pPr>
              <w:spacing w:after="40" w:before="40" w:line="283" w:lineRule="auto"/>
            </w:pPr>
            <w:r>
              <w:t>随 IR-47/48 一并向总包商提出。</w:t>
            </w:r>
          </w:p>
        </w:tc>
      </w:tr>
      <w:tr>
        <w:tc>
          <w:tcPr>
            <w:tcW w:type="dxa" w:w="1077"/>
          </w:tcPr>
          <w:p>
            <w:pPr>
              <w:spacing w:after="40" w:before="40" w:line="283" w:lineRule="auto"/>
            </w:pPr>
            <w:r>
              <w:t>IR-53  高</w:t>
            </w:r>
          </w:p>
        </w:tc>
        <w:tc>
          <w:tcPr>
            <w:tcW w:type="dxa" w:w="2381"/>
          </w:tcPr>
          <w:p>
            <w:pPr>
              <w:spacing w:after="40" w:before="40" w:line="283" w:lineRule="auto"/>
            </w:pPr>
            <w:r>
              <w:t>CAD 中的接警员工号（jjygh）、坐席号（jjth）与华为 CloudICP 的坐席工号、话机号是否为同一套编码。DS 答复：由现场维护人员决定，DS 不限制、不保证。须由 MOI 二选一：一、以行政规定保证两系统同号，并指定维护责任人；二、由本方在管理界面维护一张工号对照表，MOI 指定维护人。</w:t>
            </w:r>
          </w:p>
        </w:tc>
        <w:tc>
          <w:tcPr>
            <w:tcW w:type="dxa" w:w="1077"/>
          </w:tcPr>
          <w:p>
            <w:pPr>
              <w:spacing w:after="40" w:before="40" w:line="283" w:lineRule="auto"/>
            </w:pPr>
            <w:r>
              <w:t>MOI / 总包商</w:t>
            </w:r>
          </w:p>
        </w:tc>
        <w:tc>
          <w:tcPr>
            <w:tcW w:type="dxa" w:w="2608"/>
          </w:tcPr>
          <w:p>
            <w:pPr>
              <w:spacing w:after="40" w:before="40" w:line="283" w:lineRule="auto"/>
            </w:pPr>
            <w:r>
              <w:t>接警员维度是话务指标与 CAD 指标关联的唯一桥梁（LD-02 dim_agent）。不同号又无对照表，则「某接警员接了多少电话、受理了多少警情」两边对不上，R-06 一类按人统计的报表不成立。选二意味着多一个管理界面与一项长期人工维护。</w:t>
            </w:r>
          </w:p>
        </w:tc>
        <w:tc>
          <w:tcPr>
            <w:tcW w:type="dxa" w:w="1701"/>
          </w:tcPr>
          <w:p>
            <w:pPr>
              <w:spacing w:after="40" w:before="40" w:line="283" w:lineRule="auto"/>
            </w:pPr>
            <w:r>
              <w:t>随 IR-47/48 向总包商提出；答复前 dim_agent 按「同号」设计并登记为假设，对照表作为备选预留字段。</w:t>
            </w:r>
          </w:p>
        </w:tc>
      </w:tr>
    </w:tbl>
    <w:p>
      <w:pPr>
        <w:spacing w:before="0" w:after="140"/>
      </w:pPr>
    </w:p>
    <w:p>
      <w:r>
        <w:br w:type="page"/>
      </w:r>
    </w:p>
    <w:p>
      <w:pPr>
        <w:pStyle w:val="Heading1"/>
      </w:pPr>
      <w:r>
        <w:t>4  与 RFP 的实质差异（原三处，现存两处）</w:t>
      </w:r>
    </w:p>
    <w:p>
      <w:pPr>
        <w:spacing w:before="0" w:after="80"/>
      </w:pPr>
      <w:r>
        <w:rPr>
          <w:rFonts w:ascii="微软雅黑" w:hAnsi="微软雅黑" w:eastAsia="微软雅黑"/>
          <w:b w:val="0"/>
          <w:sz w:val="21"/>
        </w:rPr>
        <w:t>下列各项不是信息缺口，而是我方方案与 RFP 条文之间的实质差异。其中 4.1 已消解，按维护规则保留记录而不删除；4.2 与 4.3 仍需在投标或谈判阶段处置。</w:t>
      </w:r>
    </w:p>
    <w:p>
      <w:pPr>
        <w:pStyle w:val="Heading2"/>
      </w:pPr>
      <w:r>
        <w:t>4.1  移动应用（AS-09）——已消解，保留记录</w:t>
      </w:r>
    </w:p>
    <w:p>
      <w:pPr>
        <w:spacing w:before="0" w:after="80"/>
      </w:pPr>
      <w:r>
        <w:rPr>
          <w:rFonts w:ascii="微软雅黑" w:hAnsi="微软雅黑" w:eastAsia="微软雅黑"/>
          <w:b w:val="0"/>
          <w:sz w:val="21"/>
        </w:rPr>
        <w:t>RFP 1.3.2.12.15 要求管理信息、报表、仪表板与绩效数据"可通过任意形式访问——包括运行于计算机上的浏览器，或运行于 iOS 与/或 Android 设备的应用"。条文将移动应用与浏览器并列，不是可选项。</w:t>
      </w:r>
    </w:p>
    <w:p>
      <w:pPr>
        <w:spacing w:before="0" w:after="80"/>
      </w:pPr>
      <w:r>
        <w:rPr>
          <w:rFonts w:ascii="微软雅黑" w:hAnsi="微软雅黑" w:eastAsia="微软雅黑"/>
          <w:b w:val="0"/>
          <w:sz w:val="21"/>
        </w:rPr>
        <w:t>原判断是本期不交付移动端，理由为技术性的：内政部专网不具备公网可达性，APNs 与 FCM 推送无法送达，应用在后台时收不到告警。该理由在详细设计第一轮讨论中被推翻——系统设有 DMZ 区，具备 internet 访问能力与短信网关，移动端可经 MDM 分发并通过 DMZ 反向代理访问内网服务层。</w:t>
      </w:r>
    </w:p>
    <w:p>
      <w:pPr>
        <w:spacing w:before="0" w:after="80"/>
      </w:pPr>
      <w:r>
        <w:rPr>
          <w:rFonts w:ascii="微软雅黑" w:hAnsi="微软雅黑" w:eastAsia="微软雅黑"/>
          <w:b w:val="0"/>
          <w:sz w:val="21"/>
        </w:rPr>
        <w:t>实际的处置结论不是恢复推送，而是重新界定移动端的定位：它是面向主管与管理员的管理看板，不是接警员与调度员的作业工具。因此不使用 APNs 与 FCM（内政部数据不经第三方服务转发），打开应用后主动拉取；只呈现封账后的聚合指标，不提供记录级下钻，从而把数据分类政策的审批范围控制在统计数据一级；告警经短信与邮件网关送达，两个网关均由总包商提供，其故障不计入本方服务水平。按此形态交付，RFP 1.3.2.12.15 获正面响应，本项不再作为差异申报。</w:t>
      </w:r>
    </w:p>
    <w:p>
      <w:pPr>
        <w:pStyle w:val="Heading2"/>
      </w:pPr>
      <w:r>
        <w:t>4.2  COTS 交付形态（AS-01）</w:t>
      </w:r>
    </w:p>
    <w:p>
      <w:pPr>
        <w:spacing w:before="0" w:after="80"/>
      </w:pPr>
      <w:r>
        <w:rPr>
          <w:rFonts w:ascii="微软雅黑" w:hAnsi="微软雅黑" w:eastAsia="微软雅黑"/>
          <w:b w:val="0"/>
          <w:sz w:val="21"/>
        </w:rPr>
        <w:t>RFP 1.6.1.27 要求全部 OSS911 应用以商用成品（COTS）形态交付；1.6.1.28 进一步要求产品上市满五年、为 OEM 最新版本、且未来五年不 EOL / EOS。本项目为定制开发、整体新开发，不以闭源产品形态交付。</w:t>
      </w:r>
    </w:p>
    <w:p>
      <w:pPr>
        <w:spacing w:before="0" w:after="80"/>
      </w:pPr>
      <w:r>
        <w:rPr>
          <w:rFonts w:ascii="微软雅黑" w:hAnsi="微软雅黑" w:eastAsia="微软雅黑"/>
          <w:b w:val="0"/>
          <w:sz w:val="21"/>
        </w:rPr>
        <w:t>项目方针是以核心开源组件公开发布满五年来满足上市年限要求，并不另行举证产品历史。这在技术上是合理的——PostgreSQL、Airflow、Superset 等组件的公开发布历史远超五年，且有活跃的上游社区，EOL 风险低于多数商用产品。但这是一个解读，不是条文本身的表述。</w:t>
      </w:r>
    </w:p>
    <w:p>
      <w:pPr>
        <w:spacing w:before="0" w:after="80"/>
      </w:pPr>
      <w:r>
        <w:rPr>
          <w:rFonts w:ascii="微软雅黑" w:hAnsi="微软雅黑" w:eastAsia="微软雅黑"/>
          <w:b w:val="0"/>
          <w:sz w:val="21"/>
        </w:rPr>
        <w:t>开发组需要知道的是：这一条的风险不在技术实现，而在投标资格评估。相应地，交付物中的组件与版本清单、上游发布历史与支持周期说明应当从项目一开始就按可举证的标准维护（REQ-LIC-02、REQ-LIC-07），而不是等到需要举证时再补。</w:t>
      </w:r>
    </w:p>
    <w:p>
      <w:pPr>
        <w:pStyle w:val="Heading2"/>
      </w:pPr>
      <w:r>
        <w:t>4.3  报表与仪表板数量的解读（AS-08）</w:t>
      </w:r>
    </w:p>
    <w:p>
      <w:pPr>
        <w:spacing w:before="0" w:after="80"/>
      </w:pPr>
      <w:r>
        <w:rPr>
          <w:rFonts w:ascii="微软雅黑" w:hAnsi="微软雅黑" w:eastAsia="微软雅黑"/>
          <w:b w:val="0"/>
          <w:sz w:val="21"/>
        </w:rPr>
        <w:t>RFP 1.6.2.25 规定"在各子系统 COTS 预置报表之外，为在范围内的每个 OSS911 中心定义四十张自定义报表与二十个仪表板"。这是硬数字。同时 1.6.2.18 与 1.6.2.28 要求复刻现有麦加 911 中心的全部报表类型，1.6.2.20 又规定最终数量与类型由工作坊确定。</w:t>
      </w:r>
    </w:p>
    <w:p>
      <w:pPr>
        <w:spacing w:before="0" w:after="80"/>
      </w:pPr>
      <w:r>
        <w:rPr>
          <w:rFonts w:ascii="微软雅黑" w:hAnsi="微软雅黑" w:eastAsia="微软雅黑"/>
          <w:b w:val="0"/>
          <w:sz w:val="21"/>
        </w:rPr>
        <w:t>三条并存产生一个歧义：复刻现有报表是四十张之内，还是四十张之外另加？按前者理解，交付量为四十加二十；按后者理解，可能接近翻倍。</w:t>
      </w:r>
    </w:p>
    <w:p>
      <w:pPr>
        <w:spacing w:before="0" w:after="80"/>
      </w:pPr>
      <w:r>
        <w:rPr>
          <w:rFonts w:ascii="微软雅黑" w:hAnsi="微软雅黑" w:eastAsia="微软雅黑"/>
          <w:b w:val="0"/>
          <w:sz w:val="21"/>
        </w:rPr>
        <w:t>我方采用前者，并需在设计阶段取得 MOI 的书面确认（IR-33）。在确认前，报表清单的编制应当有意识地让复刻项落在四十张之内，并保留哪些编号对应哪张现有报表的对照关系，以便在确认为"另计"时能够清楚说明已完成部分。</w:t>
      </w:r>
    </w:p>
    <w:tbl>
      <w:tblPr>
        <w:tblW w:type="auto" w:w="0"/>
        <w:jc w:val="center"/>
        <w:tblLook w:firstColumn="1" w:firstRow="1" w:lastColumn="0" w:lastRow="0" w:noHBand="0" w:noVBand="1" w:val="04A0"/>
        <w:tblBorders>
          <w:top w:val="single" w:sz="4" w:space="0" w:color="1D4ED8"/>
          <w:left w:val="single" w:sz="4" w:space="0" w:color="1D4ED8"/>
          <w:bottom w:val="single" w:sz="4" w:space="0" w:color="1D4ED8"/>
          <w:right w:val="single" w:sz="4" w:space="0" w:color="1D4ED8"/>
          <w:insideH w:val="single" w:sz="4" w:space="0" w:color="1D4ED8"/>
          <w:insideV w:val="single" w:sz="4" w:space="0" w:color="1D4ED8"/>
        </w:tblBorders>
      </w:tblPr>
      <w:tblGrid>
        <w:gridCol w:w="9298"/>
      </w:tblGrid>
      <w:tr>
        <w:tc>
          <w:tcPr>
            <w:tcW w:type="dxa" w:w="9298"/>
            <w:shd w:val="clear" w:fill="F1F5F9"/>
          </w:tcPr>
          <w:p>
            <w:pPr>
              <w:spacing w:before="80" w:after="40"/>
            </w:pPr>
            <w:r/>
            <w:r>
              <w:rPr>
                <w:rFonts w:ascii="微软雅黑" w:hAnsi="微软雅黑" w:eastAsia="微软雅黑"/>
                <w:b/>
                <w:color w:val="1D4ED8"/>
                <w:sz w:val="20"/>
              </w:rPr>
              <w:t>给开发组的一句提示</w:t>
            </w:r>
          </w:p>
          <w:p>
            <w:pPr>
              <w:spacing w:after="100" w:line="312" w:lineRule="auto"/>
            </w:pPr>
            <w:r>
              <w:rPr>
                <w:rFonts w:ascii="微软雅黑" w:hAnsi="微软雅黑" w:eastAsia="微软雅黑"/>
                <w:b w:val="0"/>
                <w:sz w:val="19"/>
              </w:rPr>
              <w:t>这三处差异在早期版本的设计文档中并未被识别出来，是在整理本交接包、逐条复核 RFP 条款时才发现的。这说明一件事：条款级的逐条复核不可省略，凭方案讨论的记忆去理解需求会漏掉硬指标。HD-02 追溯矩阵中"需人工复核的条款"一页正是为此保留的，它不应长期保持非空。</w:t>
            </w:r>
          </w:p>
        </w:tc>
      </w:tr>
    </w:tbl>
    <w:p>
      <w:pPr>
        <w:spacing w:before="0" w:after="160"/>
      </w:pPr>
    </w:p>
    <w:p>
      <w:r>
        <w:br w:type="page"/>
      </w:r>
    </w:p>
    <w:p>
      <w:pPr>
        <w:pStyle w:val="Heading1"/>
      </w:pPr>
      <w:r>
        <w:t>5  已取得的客户答复（假设的依据来源）</w:t>
      </w:r>
    </w:p>
    <w:p>
      <w:pPr>
        <w:spacing w:before="0" w:after="80"/>
      </w:pPr>
      <w:r>
        <w:rPr>
          <w:rFonts w:ascii="微软雅黑" w:hAnsi="微软雅黑" w:eastAsia="微软雅黑"/>
          <w:b w:val="0"/>
          <w:sz w:val="21"/>
        </w:rPr>
        <w:t>下列答复来自投标澄清问答与项目沟通，是本册中"已确认"类假设的依据。需要注意，其中多数为口头或非正式答复；对合规性有实质影响的事项（尤其是 AS-01、AS-08、AS-09、AS-22）应通过正式 Q&amp;A 取得书面答复。</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814"/>
        <w:gridCol w:w="4876"/>
        <w:gridCol w:w="2041"/>
      </w:tblGrid>
      <w:tr>
        <w:trPr>
          <w:tblHeader/>
        </w:trPr>
        <w:tc>
          <w:tcPr>
            <w:tcW w:type="dxa" w:w="1814"/>
            <w:shd w:val="clear" w:fill="EEF2FD"/>
          </w:tcPr>
          <w:p>
            <w:pPr>
              <w:spacing w:after="40" w:before="40"/>
            </w:pPr>
            <w:r/>
            <w:r>
              <w:rPr>
                <w:rFonts w:ascii="微软雅黑" w:hAnsi="微软雅黑" w:eastAsia="微软雅黑"/>
                <w:b/>
                <w:color w:val="1E3A8A"/>
                <w:sz w:val="18"/>
              </w:rPr>
              <w:t>事项</w:t>
            </w:r>
          </w:p>
        </w:tc>
        <w:tc>
          <w:tcPr>
            <w:tcW w:type="dxa" w:w="4876"/>
            <w:shd w:val="clear" w:fill="EEF2FD"/>
          </w:tcPr>
          <w:p>
            <w:pPr>
              <w:spacing w:after="40" w:before="40"/>
            </w:pPr>
            <w:r/>
            <w:r>
              <w:rPr>
                <w:rFonts w:ascii="微软雅黑" w:hAnsi="微软雅黑" w:eastAsia="微软雅黑"/>
                <w:b/>
                <w:color w:val="1E3A8A"/>
                <w:sz w:val="18"/>
              </w:rPr>
              <w:t>客户答复要点</w:t>
            </w:r>
          </w:p>
        </w:tc>
        <w:tc>
          <w:tcPr>
            <w:tcW w:type="dxa" w:w="2041"/>
            <w:shd w:val="clear" w:fill="EEF2FD"/>
          </w:tcPr>
          <w:p>
            <w:pPr>
              <w:spacing w:after="40" w:before="40"/>
            </w:pPr>
            <w:r/>
            <w:r>
              <w:rPr>
                <w:rFonts w:ascii="微软雅黑" w:hAnsi="微软雅黑" w:eastAsia="微软雅黑"/>
                <w:b/>
                <w:color w:val="1E3A8A"/>
                <w:sz w:val="18"/>
              </w:rPr>
              <w:t>对应假设</w:t>
            </w:r>
          </w:p>
        </w:tc>
      </w:tr>
      <w:tr>
        <w:tc>
          <w:tcPr>
            <w:tcW w:type="dxa" w:w="1814"/>
          </w:tcPr>
          <w:p>
            <w:pPr>
              <w:spacing w:after="40" w:before="40" w:line="283" w:lineRule="auto"/>
            </w:pPr>
            <w:r/>
            <w:r>
              <w:rPr>
                <w:rFonts w:ascii="微软雅黑" w:hAnsi="微软雅黑" w:eastAsia="微软雅黑"/>
                <w:b w:val="0"/>
                <w:sz w:val="18"/>
              </w:rPr>
              <w:t>中央数据库的建设方式</w:t>
            </w:r>
          </w:p>
        </w:tc>
        <w:tc>
          <w:tcPr>
            <w:tcW w:type="dxa" w:w="4876"/>
          </w:tcPr>
          <w:p>
            <w:pPr>
              <w:spacing w:after="40" w:before="40" w:line="283" w:lineRule="auto"/>
            </w:pPr>
            <w:r/>
            <w:r>
              <w:rPr>
                <w:rFonts w:ascii="微软雅黑" w:hAnsi="微软雅黑" w:eastAsia="微软雅黑"/>
                <w:b w:val="0"/>
                <w:sz w:val="18"/>
              </w:rPr>
              <w:t>PostgreSQL 按自建，不由 MOI 统一提供</w:t>
            </w:r>
          </w:p>
        </w:tc>
        <w:tc>
          <w:tcPr>
            <w:tcW w:type="dxa" w:w="2041"/>
          </w:tcPr>
          <w:p>
            <w:pPr>
              <w:spacing w:after="40" w:before="40" w:line="283" w:lineRule="auto"/>
            </w:pPr>
            <w:r/>
            <w:r>
              <w:rPr>
                <w:rFonts w:ascii="微软雅黑" w:hAnsi="微软雅黑" w:eastAsia="微软雅黑"/>
                <w:b w:val="0"/>
                <w:sz w:val="18"/>
              </w:rPr>
              <w:t>AS-02</w:t>
            </w:r>
          </w:p>
        </w:tc>
      </w:tr>
      <w:tr>
        <w:tc>
          <w:tcPr>
            <w:tcW w:type="dxa" w:w="1814"/>
          </w:tcPr>
          <w:p>
            <w:pPr>
              <w:spacing w:after="40" w:before="40" w:line="283" w:lineRule="auto"/>
            </w:pPr>
            <w:r/>
            <w:r>
              <w:rPr>
                <w:rFonts w:ascii="微软雅黑" w:hAnsi="微软雅黑" w:eastAsia="微软雅黑"/>
                <w:b w:val="0"/>
                <w:sz w:val="18"/>
              </w:rPr>
              <w:t>录音编码与存储</w:t>
            </w:r>
          </w:p>
        </w:tc>
        <w:tc>
          <w:tcPr>
            <w:tcW w:type="dxa" w:w="4876"/>
          </w:tcPr>
          <w:p>
            <w:pPr>
              <w:spacing w:after="40" w:before="40" w:line="283" w:lineRule="auto"/>
            </w:pPr>
            <w:r/>
            <w:r>
              <w:rPr>
                <w:rFonts w:ascii="微软雅黑" w:hAnsi="微软雅黑" w:eastAsia="微软雅黑"/>
                <w:b w:val="0"/>
                <w:sz w:val="18"/>
              </w:rPr>
              <w:t>按 64 kbps 计；录音属生产系统备份，磁带机</w:t>
            </w:r>
          </w:p>
        </w:tc>
        <w:tc>
          <w:tcPr>
            <w:tcW w:type="dxa" w:w="2041"/>
          </w:tcPr>
          <w:p>
            <w:pPr>
              <w:spacing w:after="40" w:before="40" w:line="283" w:lineRule="auto"/>
            </w:pPr>
            <w:r/>
            <w:r>
              <w:rPr>
                <w:rFonts w:ascii="微软雅黑" w:hAnsi="微软雅黑" w:eastAsia="微软雅黑"/>
                <w:b w:val="0"/>
                <w:sz w:val="18"/>
              </w:rPr>
              <w:t>AS-16</w:t>
            </w:r>
          </w:p>
        </w:tc>
      </w:tr>
      <w:tr>
        <w:tc>
          <w:tcPr>
            <w:tcW w:type="dxa" w:w="1814"/>
          </w:tcPr>
          <w:p>
            <w:pPr>
              <w:spacing w:after="40" w:before="40" w:line="283" w:lineRule="auto"/>
            </w:pPr>
            <w:r/>
            <w:r>
              <w:rPr>
                <w:rFonts w:ascii="微软雅黑" w:hAnsi="微软雅黑" w:eastAsia="微软雅黑"/>
                <w:b w:val="0"/>
                <w:sz w:val="18"/>
              </w:rPr>
              <w:t>归档数据</w:t>
            </w:r>
          </w:p>
        </w:tc>
        <w:tc>
          <w:tcPr>
            <w:tcW w:type="dxa" w:w="4876"/>
          </w:tcPr>
          <w:p>
            <w:pPr>
              <w:spacing w:after="40" w:before="40" w:line="283" w:lineRule="auto"/>
            </w:pPr>
            <w:r/>
            <w:r>
              <w:rPr>
                <w:rFonts w:ascii="微软雅黑" w:hAnsi="微软雅黑" w:eastAsia="微软雅黑"/>
                <w:b w:val="0"/>
                <w:sz w:val="18"/>
              </w:rPr>
              <w:t>归档库为 SQL Server（Hexagon 原生），读取的是 archive 副本库而非生产库；一次性复制；旧系统会下线；归档库中无 ICP 数据。【2026-09 更正】此前记录为「归档库为 PostgreSQL」，系早期沟通的误记，已按实际更正</w:t>
            </w:r>
          </w:p>
        </w:tc>
        <w:tc>
          <w:tcPr>
            <w:tcW w:type="dxa" w:w="2041"/>
          </w:tcPr>
          <w:p>
            <w:pPr>
              <w:spacing w:after="40" w:before="40" w:line="283" w:lineRule="auto"/>
            </w:pPr>
            <w:r/>
            <w:r>
              <w:rPr>
                <w:rFonts w:ascii="微软雅黑" w:hAnsi="微软雅黑" w:eastAsia="微软雅黑"/>
                <w:b w:val="0"/>
                <w:sz w:val="18"/>
              </w:rPr>
              <w:t>AS-02 · AS-17</w:t>
            </w:r>
          </w:p>
        </w:tc>
      </w:tr>
      <w:tr>
        <w:tc>
          <w:tcPr>
            <w:tcW w:type="dxa" w:w="1814"/>
          </w:tcPr>
          <w:p>
            <w:pPr>
              <w:spacing w:after="40" w:before="40" w:line="283" w:lineRule="auto"/>
            </w:pPr>
            <w:r/>
            <w:r>
              <w:rPr>
                <w:rFonts w:ascii="微软雅黑" w:hAnsi="微软雅黑" w:eastAsia="微软雅黑"/>
                <w:b w:val="0"/>
                <w:sz w:val="18"/>
              </w:rPr>
              <w:t>新系统增量接入</w:t>
            </w:r>
          </w:p>
        </w:tc>
        <w:tc>
          <w:tcPr>
            <w:tcW w:type="dxa" w:w="4876"/>
          </w:tcPr>
          <w:p>
            <w:pPr>
              <w:spacing w:after="40" w:before="40" w:line="283" w:lineRule="auto"/>
            </w:pPr>
            <w:r/>
            <w:r>
              <w:rPr>
                <w:rFonts w:ascii="微软雅黑" w:hAnsi="微软雅黑" w:eastAsia="微软雅黑"/>
                <w:b w:val="0"/>
                <w:sz w:val="18"/>
              </w:rPr>
              <w:t>需具备 CDC 与 API 两种能力</w:t>
            </w:r>
          </w:p>
        </w:tc>
        <w:tc>
          <w:tcPr>
            <w:tcW w:type="dxa" w:w="2041"/>
          </w:tcPr>
          <w:p>
            <w:pPr>
              <w:spacing w:after="40" w:before="40" w:line="283" w:lineRule="auto"/>
            </w:pPr>
            <w:r/>
            <w:r>
              <w:rPr>
                <w:rFonts w:ascii="微软雅黑" w:hAnsi="微软雅黑" w:eastAsia="微软雅黑"/>
                <w:b w:val="0"/>
                <w:sz w:val="18"/>
              </w:rPr>
              <w:t>AS-04 · AS-05</w:t>
            </w:r>
          </w:p>
        </w:tc>
      </w:tr>
      <w:tr>
        <w:tc>
          <w:tcPr>
            <w:tcW w:type="dxa" w:w="1814"/>
          </w:tcPr>
          <w:p>
            <w:pPr>
              <w:spacing w:after="40" w:before="40" w:line="283" w:lineRule="auto"/>
            </w:pPr>
            <w:r/>
            <w:r>
              <w:rPr>
                <w:rFonts w:ascii="微软雅黑" w:hAnsi="微软雅黑" w:eastAsia="微软雅黑"/>
                <w:b w:val="0"/>
                <w:sz w:val="18"/>
              </w:rPr>
              <w:t>备份责任</w:t>
            </w:r>
          </w:p>
        </w:tc>
        <w:tc>
          <w:tcPr>
            <w:tcW w:type="dxa" w:w="4876"/>
          </w:tcPr>
          <w:p>
            <w:pPr>
              <w:spacing w:after="40" w:before="40" w:line="283" w:lineRule="auto"/>
            </w:pPr>
            <w:r/>
            <w:r>
              <w:rPr>
                <w:rFonts w:ascii="微软雅黑" w:hAnsi="微软雅黑" w:eastAsia="微软雅黑"/>
                <w:b w:val="0"/>
                <w:sz w:val="18"/>
              </w:rPr>
              <w:t>本方自行完成备份</w:t>
            </w:r>
          </w:p>
        </w:tc>
        <w:tc>
          <w:tcPr>
            <w:tcW w:type="dxa" w:w="2041"/>
          </w:tcPr>
          <w:p>
            <w:pPr>
              <w:spacing w:after="40" w:before="40" w:line="283" w:lineRule="auto"/>
            </w:pPr>
            <w:r/>
            <w:r>
              <w:rPr>
                <w:rFonts w:ascii="微软雅黑" w:hAnsi="微软雅黑" w:eastAsia="微软雅黑"/>
                <w:b w:val="0"/>
                <w:sz w:val="18"/>
              </w:rPr>
              <w:t>AS-16</w:t>
            </w:r>
          </w:p>
        </w:tc>
      </w:tr>
      <w:tr>
        <w:tc>
          <w:tcPr>
            <w:tcW w:type="dxa" w:w="1814"/>
          </w:tcPr>
          <w:p>
            <w:pPr>
              <w:spacing w:after="40" w:before="40" w:line="283" w:lineRule="auto"/>
            </w:pPr>
            <w:r/>
            <w:r>
              <w:rPr>
                <w:rFonts w:ascii="微软雅黑" w:hAnsi="微软雅黑" w:eastAsia="微软雅黑"/>
                <w:b w:val="0"/>
                <w:sz w:val="18"/>
              </w:rPr>
              <w:t>网络条件</w:t>
            </w:r>
          </w:p>
        </w:tc>
        <w:tc>
          <w:tcPr>
            <w:tcW w:type="dxa" w:w="4876"/>
          </w:tcPr>
          <w:p>
            <w:pPr>
              <w:spacing w:after="40" w:before="40" w:line="283" w:lineRule="auto"/>
            </w:pPr>
            <w:r/>
            <w:r>
              <w:rPr>
                <w:rFonts w:ascii="微软雅黑" w:hAnsi="微软雅黑" w:eastAsia="微软雅黑"/>
                <w:b w:val="0"/>
                <w:sz w:val="18"/>
              </w:rPr>
              <w:t>内政部专网，WiFi 亦为专网</w:t>
            </w:r>
          </w:p>
        </w:tc>
        <w:tc>
          <w:tcPr>
            <w:tcW w:type="dxa" w:w="2041"/>
          </w:tcPr>
          <w:p>
            <w:pPr>
              <w:spacing w:after="40" w:before="40" w:line="283" w:lineRule="auto"/>
            </w:pPr>
            <w:r/>
            <w:r>
              <w:rPr>
                <w:rFonts w:ascii="微软雅黑" w:hAnsi="微软雅黑" w:eastAsia="微软雅黑"/>
                <w:b w:val="0"/>
                <w:sz w:val="18"/>
              </w:rPr>
              <w:t>AS-25</w:t>
            </w:r>
          </w:p>
        </w:tc>
      </w:tr>
      <w:tr>
        <w:tc>
          <w:tcPr>
            <w:tcW w:type="dxa" w:w="1814"/>
          </w:tcPr>
          <w:p>
            <w:pPr>
              <w:spacing w:after="40" w:before="40" w:line="283" w:lineRule="auto"/>
            </w:pPr>
            <w:r/>
            <w:r>
              <w:rPr>
                <w:rFonts w:ascii="微软雅黑" w:hAnsi="微软雅黑" w:eastAsia="微软雅黑"/>
                <w:b w:val="0"/>
                <w:sz w:val="18"/>
              </w:rPr>
              <w:t>CAD 与 ICP 关联</w:t>
            </w:r>
          </w:p>
        </w:tc>
        <w:tc>
          <w:tcPr>
            <w:tcW w:type="dxa" w:w="4876"/>
          </w:tcPr>
          <w:p>
            <w:pPr>
              <w:spacing w:after="40" w:before="40" w:line="283" w:lineRule="auto"/>
            </w:pPr>
            <w:r/>
            <w:r>
              <w:rPr>
                <w:rFonts w:ascii="微软雅黑" w:hAnsi="微软雅黑" w:eastAsia="微软雅黑"/>
                <w:b w:val="0"/>
                <w:sz w:val="18"/>
              </w:rPr>
              <w:t>有一个通话 ID，两边统一</w:t>
            </w:r>
          </w:p>
        </w:tc>
        <w:tc>
          <w:tcPr>
            <w:tcW w:type="dxa" w:w="2041"/>
          </w:tcPr>
          <w:p>
            <w:pPr>
              <w:spacing w:after="40" w:before="40" w:line="283" w:lineRule="auto"/>
            </w:pPr>
            <w:r/>
            <w:r>
              <w:rPr>
                <w:rFonts w:ascii="微软雅黑" w:hAnsi="微软雅黑" w:eastAsia="微软雅黑"/>
                <w:b w:val="0"/>
                <w:sz w:val="18"/>
              </w:rPr>
              <w:t>AS-07</w:t>
            </w:r>
          </w:p>
        </w:tc>
      </w:tr>
      <w:tr>
        <w:tc>
          <w:tcPr>
            <w:tcW w:type="dxa" w:w="1814"/>
          </w:tcPr>
          <w:p>
            <w:pPr>
              <w:spacing w:after="40" w:before="40" w:line="283" w:lineRule="auto"/>
            </w:pPr>
            <w:r/>
            <w:r>
              <w:rPr>
                <w:rFonts w:ascii="微软雅黑" w:hAnsi="微软雅黑" w:eastAsia="微软雅黑"/>
                <w:b w:val="0"/>
                <w:sz w:val="18"/>
              </w:rPr>
              <w:t>目录与角色</w:t>
            </w:r>
          </w:p>
        </w:tc>
        <w:tc>
          <w:tcPr>
            <w:tcW w:type="dxa" w:w="4876"/>
          </w:tcPr>
          <w:p>
            <w:pPr>
              <w:spacing w:after="40" w:before="40" w:line="283" w:lineRule="auto"/>
            </w:pPr>
            <w:r/>
            <w:r>
              <w:rPr>
                <w:rFonts w:ascii="微软雅黑" w:hAnsi="微软雅黑" w:eastAsia="微软雅黑"/>
                <w:b w:val="0"/>
                <w:sz w:val="18"/>
              </w:rPr>
              <w:t>本中心目录只有接警员、调度员、主管、管理员四个角色</w:t>
            </w:r>
          </w:p>
        </w:tc>
        <w:tc>
          <w:tcPr>
            <w:tcW w:type="dxa" w:w="2041"/>
          </w:tcPr>
          <w:p>
            <w:pPr>
              <w:spacing w:after="40" w:before="40" w:line="283" w:lineRule="auto"/>
            </w:pPr>
            <w:r/>
            <w:r>
              <w:rPr>
                <w:rFonts w:ascii="微软雅黑" w:hAnsi="微软雅黑" w:eastAsia="微软雅黑"/>
                <w:b w:val="0"/>
                <w:sz w:val="18"/>
              </w:rPr>
              <w:t>AS-14</w:t>
            </w:r>
          </w:p>
        </w:tc>
      </w:tr>
      <w:tr>
        <w:tc>
          <w:tcPr>
            <w:tcW w:type="dxa" w:w="1814"/>
          </w:tcPr>
          <w:p>
            <w:pPr>
              <w:spacing w:after="40" w:before="40" w:line="283" w:lineRule="auto"/>
            </w:pPr>
            <w:r/>
            <w:r>
              <w:rPr>
                <w:rFonts w:ascii="微软雅黑" w:hAnsi="微软雅黑" w:eastAsia="微软雅黑"/>
                <w:b w:val="0"/>
                <w:sz w:val="18"/>
              </w:rPr>
              <w:t>日历与时区</w:t>
            </w:r>
          </w:p>
        </w:tc>
        <w:tc>
          <w:tcPr>
            <w:tcW w:type="dxa" w:w="4876"/>
          </w:tcPr>
          <w:p>
            <w:pPr>
              <w:spacing w:after="40" w:before="40" w:line="283" w:lineRule="auto"/>
            </w:pPr>
            <w:r/>
            <w:r>
              <w:rPr>
                <w:rFonts w:ascii="微软雅黑" w:hAnsi="微软雅黑" w:eastAsia="微软雅黑"/>
                <w:b w:val="0"/>
                <w:sz w:val="18"/>
              </w:rPr>
              <w:t>按沙特标准日历</w:t>
            </w:r>
          </w:p>
        </w:tc>
        <w:tc>
          <w:tcPr>
            <w:tcW w:type="dxa" w:w="2041"/>
          </w:tcPr>
          <w:p>
            <w:pPr>
              <w:spacing w:after="40" w:before="40" w:line="283" w:lineRule="auto"/>
            </w:pPr>
            <w:r/>
            <w:r>
              <w:rPr>
                <w:rFonts w:ascii="微软雅黑" w:hAnsi="微软雅黑" w:eastAsia="微软雅黑"/>
                <w:b w:val="0"/>
                <w:sz w:val="18"/>
              </w:rPr>
              <w:t>AS-12</w:t>
            </w:r>
          </w:p>
        </w:tc>
      </w:tr>
      <w:tr>
        <w:tc>
          <w:tcPr>
            <w:tcW w:type="dxa" w:w="1814"/>
          </w:tcPr>
          <w:p>
            <w:pPr>
              <w:spacing w:after="40" w:before="40" w:line="283" w:lineRule="auto"/>
            </w:pPr>
            <w:r/>
            <w:r>
              <w:rPr>
                <w:rFonts w:ascii="微软雅黑" w:hAnsi="微软雅黑" w:eastAsia="微软雅黑"/>
                <w:b w:val="0"/>
                <w:sz w:val="18"/>
              </w:rPr>
              <w:t>服务水平举证</w:t>
            </w:r>
          </w:p>
        </w:tc>
        <w:tc>
          <w:tcPr>
            <w:tcW w:type="dxa" w:w="4876"/>
          </w:tcPr>
          <w:p>
            <w:pPr>
              <w:spacing w:after="40" w:before="40" w:line="283" w:lineRule="auto"/>
            </w:pPr>
            <w:r/>
            <w:r>
              <w:rPr>
                <w:rFonts w:ascii="微软雅黑" w:hAnsi="微软雅黑" w:eastAsia="微软雅黑"/>
                <w:b w:val="0"/>
                <w:sz w:val="18"/>
              </w:rPr>
              <w:t>我方自行举证</w:t>
            </w:r>
          </w:p>
        </w:tc>
        <w:tc>
          <w:tcPr>
            <w:tcW w:type="dxa" w:w="2041"/>
          </w:tcPr>
          <w:p>
            <w:pPr>
              <w:spacing w:after="40" w:before="40" w:line="283" w:lineRule="auto"/>
            </w:pPr>
            <w:r/>
            <w:r>
              <w:rPr>
                <w:rFonts w:ascii="微软雅黑" w:hAnsi="微软雅黑" w:eastAsia="微软雅黑"/>
                <w:b w:val="0"/>
                <w:sz w:val="18"/>
              </w:rPr>
              <w:t>AS-10</w:t>
            </w:r>
          </w:p>
        </w:tc>
      </w:tr>
      <w:tr>
        <w:tc>
          <w:tcPr>
            <w:tcW w:type="dxa" w:w="1814"/>
          </w:tcPr>
          <w:p>
            <w:pPr>
              <w:spacing w:after="40" w:before="40" w:line="283" w:lineRule="auto"/>
            </w:pPr>
            <w:r/>
            <w:r>
              <w:rPr>
                <w:rFonts w:ascii="微软雅黑" w:hAnsi="微软雅黑" w:eastAsia="微软雅黑"/>
                <w:b w:val="0"/>
                <w:sz w:val="18"/>
              </w:rPr>
              <w:t>报表语言</w:t>
            </w:r>
          </w:p>
        </w:tc>
        <w:tc>
          <w:tcPr>
            <w:tcW w:type="dxa" w:w="4876"/>
          </w:tcPr>
          <w:p>
            <w:pPr>
              <w:spacing w:after="40" w:before="40" w:line="283" w:lineRule="auto"/>
            </w:pPr>
            <w:r/>
            <w:r>
              <w:rPr>
                <w:rFonts w:ascii="微软雅黑" w:hAnsi="微软雅黑" w:eastAsia="微软雅黑"/>
                <w:b w:val="0"/>
                <w:sz w:val="18"/>
              </w:rPr>
              <w:t>分别两张表，每张一种语言</w:t>
            </w:r>
          </w:p>
        </w:tc>
        <w:tc>
          <w:tcPr>
            <w:tcW w:type="dxa" w:w="2041"/>
          </w:tcPr>
          <w:p>
            <w:pPr>
              <w:spacing w:after="40" w:before="40" w:line="283" w:lineRule="auto"/>
            </w:pPr>
            <w:r/>
            <w:r>
              <w:rPr>
                <w:rFonts w:ascii="微软雅黑" w:hAnsi="微软雅黑" w:eastAsia="微软雅黑"/>
                <w:b w:val="0"/>
                <w:sz w:val="18"/>
              </w:rPr>
              <w:t>AS-15</w:t>
            </w:r>
          </w:p>
        </w:tc>
      </w:tr>
      <w:tr>
        <w:tc>
          <w:tcPr>
            <w:tcW w:type="dxa" w:w="1814"/>
          </w:tcPr>
          <w:p>
            <w:pPr>
              <w:spacing w:after="40" w:before="40" w:line="283" w:lineRule="auto"/>
            </w:pPr>
            <w:r/>
            <w:r>
              <w:rPr>
                <w:rFonts w:ascii="微软雅黑" w:hAnsi="微软雅黑" w:eastAsia="微软雅黑"/>
                <w:b w:val="0"/>
                <w:sz w:val="18"/>
              </w:rPr>
              <w:t>缓变维口径</w:t>
            </w:r>
          </w:p>
        </w:tc>
        <w:tc>
          <w:tcPr>
            <w:tcW w:type="dxa" w:w="4876"/>
          </w:tcPr>
          <w:p>
            <w:pPr>
              <w:spacing w:after="40" w:before="40" w:line="283" w:lineRule="auto"/>
            </w:pPr>
            <w:r/>
            <w:r>
              <w:rPr>
                <w:rFonts w:ascii="微软雅黑" w:hAnsi="微软雅黑" w:eastAsia="微软雅黑"/>
                <w:b w:val="0"/>
                <w:sz w:val="18"/>
              </w:rPr>
              <w:t>看当时</w:t>
            </w:r>
          </w:p>
        </w:tc>
        <w:tc>
          <w:tcPr>
            <w:tcW w:type="dxa" w:w="2041"/>
          </w:tcPr>
          <w:p>
            <w:pPr>
              <w:spacing w:after="40" w:before="40" w:line="283" w:lineRule="auto"/>
            </w:pPr>
            <w:r/>
            <w:r>
              <w:rPr>
                <w:rFonts w:ascii="微软雅黑" w:hAnsi="微软雅黑" w:eastAsia="微软雅黑"/>
                <w:b w:val="0"/>
                <w:sz w:val="18"/>
              </w:rPr>
              <w:t>AS-13</w:t>
            </w:r>
          </w:p>
        </w:tc>
      </w:tr>
      <w:tr>
        <w:tc>
          <w:tcPr>
            <w:tcW w:type="dxa" w:w="1814"/>
          </w:tcPr>
          <w:p>
            <w:pPr>
              <w:spacing w:after="40" w:before="40" w:line="283" w:lineRule="auto"/>
            </w:pPr>
            <w:r/>
            <w:r>
              <w:rPr>
                <w:rFonts w:ascii="微软雅黑" w:hAnsi="微软雅黑" w:eastAsia="微软雅黑"/>
                <w:b w:val="0"/>
                <w:sz w:val="18"/>
              </w:rPr>
              <w:t>DS 大屏</w:t>
            </w:r>
          </w:p>
        </w:tc>
        <w:tc>
          <w:tcPr>
            <w:tcW w:type="dxa" w:w="4876"/>
          </w:tcPr>
          <w:p>
            <w:pPr>
              <w:spacing w:after="40" w:before="40" w:line="283" w:lineRule="auto"/>
            </w:pPr>
            <w:r/>
            <w:r>
              <w:rPr>
                <w:rFonts w:ascii="微软雅黑" w:hAnsi="微软雅黑" w:eastAsia="微软雅黑"/>
                <w:b w:val="0"/>
                <w:sz w:val="18"/>
              </w:rPr>
              <w:t>DS 那块大屏不交付，我方参考做、交付我方的</w:t>
            </w:r>
          </w:p>
        </w:tc>
        <w:tc>
          <w:tcPr>
            <w:tcW w:type="dxa" w:w="2041"/>
          </w:tcPr>
          <w:p>
            <w:pPr>
              <w:spacing w:after="40" w:before="40" w:line="283" w:lineRule="auto"/>
            </w:pPr>
            <w:r/>
            <w:r>
              <w:rPr>
                <w:rFonts w:ascii="微软雅黑" w:hAnsi="微软雅黑" w:eastAsia="微软雅黑"/>
                <w:b w:val="0"/>
                <w:sz w:val="18"/>
              </w:rPr>
              <w:t>AS-23</w:t>
            </w:r>
          </w:p>
        </w:tc>
      </w:tr>
      <w:tr>
        <w:tc>
          <w:tcPr>
            <w:tcW w:type="dxa" w:w="1814"/>
          </w:tcPr>
          <w:p>
            <w:pPr>
              <w:spacing w:after="40" w:before="40" w:line="283" w:lineRule="auto"/>
            </w:pPr>
            <w:r/>
            <w:r>
              <w:rPr>
                <w:rFonts w:ascii="微软雅黑" w:hAnsi="微软雅黑" w:eastAsia="微软雅黑"/>
                <w:b w:val="0"/>
                <w:sz w:val="18"/>
              </w:rPr>
              <w:t>对象存储</w:t>
            </w:r>
          </w:p>
        </w:tc>
        <w:tc>
          <w:tcPr>
            <w:tcW w:type="dxa" w:w="4876"/>
          </w:tcPr>
          <w:p>
            <w:pPr>
              <w:spacing w:after="40" w:before="40" w:line="283" w:lineRule="auto"/>
            </w:pPr>
            <w:r/>
            <w:r>
              <w:rPr>
                <w:rFonts w:ascii="微软雅黑" w:hAnsi="微软雅黑" w:eastAsia="微软雅黑"/>
                <w:b w:val="0"/>
                <w:sz w:val="18"/>
              </w:rPr>
              <w:t>内政部没有 S3 服务，需本方部署</w:t>
            </w:r>
          </w:p>
        </w:tc>
        <w:tc>
          <w:tcPr>
            <w:tcW w:type="dxa" w:w="2041"/>
          </w:tcPr>
          <w:p>
            <w:pPr>
              <w:spacing w:after="40" w:before="40" w:line="283" w:lineRule="auto"/>
            </w:pPr>
            <w:r/>
            <w:r>
              <w:rPr>
                <w:rFonts w:ascii="微软雅黑" w:hAnsi="微软雅黑" w:eastAsia="微软雅黑"/>
                <w:b w:val="0"/>
                <w:sz w:val="18"/>
              </w:rPr>
              <w:t>AS-18</w:t>
            </w:r>
          </w:p>
        </w:tc>
      </w:tr>
      <w:tr>
        <w:tc>
          <w:tcPr>
            <w:tcW w:type="dxa" w:w="1814"/>
          </w:tcPr>
          <w:p>
            <w:pPr>
              <w:spacing w:after="40" w:before="40" w:line="283" w:lineRule="auto"/>
            </w:pPr>
            <w:r/>
            <w:r>
              <w:rPr>
                <w:rFonts w:ascii="微软雅黑" w:hAnsi="微软雅黑" w:eastAsia="微软雅黑"/>
                <w:b w:val="0"/>
                <w:sz w:val="18"/>
              </w:rPr>
              <w:t>勤务与天气维度</w:t>
            </w:r>
          </w:p>
        </w:tc>
        <w:tc>
          <w:tcPr>
            <w:tcW w:type="dxa" w:w="4876"/>
          </w:tcPr>
          <w:p>
            <w:pPr>
              <w:spacing w:after="40" w:before="40" w:line="283" w:lineRule="auto"/>
            </w:pPr>
            <w:r/>
            <w:r>
              <w:rPr>
                <w:rFonts w:ascii="微软雅黑" w:hAnsi="微软雅黑" w:eastAsia="微软雅黑"/>
                <w:b w:val="0"/>
                <w:sz w:val="18"/>
              </w:rPr>
              <w:t>勤务级别需要，天气不需要</w:t>
            </w:r>
          </w:p>
        </w:tc>
        <w:tc>
          <w:tcPr>
            <w:tcW w:type="dxa" w:w="2041"/>
          </w:tcPr>
          <w:p>
            <w:pPr>
              <w:spacing w:after="40" w:before="40" w:line="283" w:lineRule="auto"/>
            </w:pPr>
            <w:r/>
            <w:r>
              <w:rPr>
                <w:rFonts w:ascii="微软雅黑" w:hAnsi="微软雅黑" w:eastAsia="微软雅黑"/>
                <w:b w:val="0"/>
                <w:sz w:val="18"/>
              </w:rPr>
              <w:t>—</w:t>
            </w:r>
          </w:p>
        </w:tc>
      </w:tr>
      <w:tr>
        <w:tc>
          <w:tcPr>
            <w:tcW w:type="dxa" w:w="1814"/>
          </w:tcPr>
          <w:p>
            <w:pPr>
              <w:spacing w:after="40" w:before="40" w:line="283" w:lineRule="auto"/>
            </w:pPr>
            <w:r/>
            <w:r>
              <w:rPr>
                <w:rFonts w:ascii="微软雅黑" w:hAnsi="微软雅黑" w:eastAsia="微软雅黑"/>
                <w:b w:val="0"/>
                <w:sz w:val="18"/>
              </w:rPr>
              <w:t>站点范围</w:t>
            </w:r>
          </w:p>
        </w:tc>
        <w:tc>
          <w:tcPr>
            <w:tcW w:type="dxa" w:w="4876"/>
          </w:tcPr>
          <w:p>
            <w:pPr>
              <w:spacing w:after="40" w:before="40" w:line="283" w:lineRule="auto"/>
            </w:pPr>
            <w:r/>
            <w:r>
              <w:rPr>
                <w:rFonts w:ascii="微软雅黑" w:hAnsi="微软雅黑" w:eastAsia="微软雅黑"/>
                <w:b w:val="0"/>
                <w:sz w:val="18"/>
              </w:rPr>
              <w:t>本期仅麦加，麦地那为另一合同</w:t>
            </w:r>
          </w:p>
        </w:tc>
        <w:tc>
          <w:tcPr>
            <w:tcW w:type="dxa" w:w="2041"/>
          </w:tcPr>
          <w:p>
            <w:pPr>
              <w:spacing w:after="40" w:before="40" w:line="283" w:lineRule="auto"/>
            </w:pPr>
            <w:r/>
            <w:r>
              <w:rPr>
                <w:rFonts w:ascii="微软雅黑" w:hAnsi="微软雅黑" w:eastAsia="微软雅黑"/>
                <w:b w:val="0"/>
                <w:sz w:val="18"/>
              </w:rPr>
              <w:t>AS-22</w:t>
            </w:r>
          </w:p>
        </w:tc>
      </w:tr>
      <w:tr>
        <w:tc>
          <w:tcPr>
            <w:tcW w:type="dxa" w:w="1814"/>
          </w:tcPr>
          <w:p>
            <w:pPr>
              <w:spacing w:after="40" w:before="40" w:line="283" w:lineRule="auto"/>
            </w:pPr>
            <w:r/>
            <w:r>
              <w:rPr>
                <w:rFonts w:ascii="微软雅黑" w:hAnsi="微软雅黑" w:eastAsia="微软雅黑"/>
                <w:b w:val="0"/>
                <w:sz w:val="18"/>
              </w:rPr>
              <w:t>ICP 形态</w:t>
            </w:r>
          </w:p>
        </w:tc>
        <w:tc>
          <w:tcPr>
            <w:tcW w:type="dxa" w:w="4876"/>
          </w:tcPr>
          <w:p>
            <w:pPr>
              <w:spacing w:after="40" w:before="40" w:line="283" w:lineRule="auto"/>
            </w:pPr>
            <w:r/>
            <w:r>
              <w:rPr>
                <w:rFonts w:ascii="微软雅黑" w:hAnsi="微软雅黑" w:eastAsia="微软雅黑"/>
                <w:b w:val="0"/>
                <w:sz w:val="18"/>
              </w:rPr>
              <w:t>华为 softcall 变种，仅提供 API，不提供数据库复制</w:t>
            </w:r>
          </w:p>
        </w:tc>
        <w:tc>
          <w:tcPr>
            <w:tcW w:type="dxa" w:w="2041"/>
          </w:tcPr>
          <w:p>
            <w:pPr>
              <w:spacing w:after="40" w:before="40" w:line="283" w:lineRule="auto"/>
            </w:pPr>
            <w:r/>
            <w:r>
              <w:rPr>
                <w:rFonts w:ascii="微软雅黑" w:hAnsi="微软雅黑" w:eastAsia="微软雅黑"/>
                <w:b w:val="0"/>
                <w:sz w:val="18"/>
              </w:rPr>
              <w:t>AS-05 · AS-06</w:t>
            </w:r>
          </w:p>
        </w:tc>
      </w:tr>
      <w:tr>
        <w:tc>
          <w:tcPr>
            <w:tcW w:type="dxa" w:w="1814"/>
          </w:tcPr>
          <w:p>
            <w:pPr>
              <w:spacing w:after="40" w:before="40" w:line="283" w:lineRule="auto"/>
            </w:pPr>
            <w:r/>
            <w:r>
              <w:rPr>
                <w:rFonts w:ascii="微软雅黑" w:hAnsi="微软雅黑" w:eastAsia="微软雅黑"/>
                <w:b w:val="0"/>
                <w:sz w:val="18"/>
              </w:rPr>
              <w:t>迁移起始年份</w:t>
            </w:r>
          </w:p>
        </w:tc>
        <w:tc>
          <w:tcPr>
            <w:tcW w:type="dxa" w:w="4876"/>
          </w:tcPr>
          <w:p>
            <w:pPr>
              <w:spacing w:after="40" w:before="40" w:line="283" w:lineRule="auto"/>
            </w:pPr>
            <w:r/>
            <w:r>
              <w:rPr>
                <w:rFonts w:ascii="微软雅黑" w:hAnsi="微软雅黑" w:eastAsia="微软雅黑"/>
                <w:b w:val="0"/>
                <w:sz w:val="18"/>
              </w:rPr>
              <w:t>历史数据自 2016 年起迁入，跨度约十一年</w:t>
            </w:r>
          </w:p>
        </w:tc>
        <w:tc>
          <w:tcPr>
            <w:tcW w:type="dxa" w:w="2041"/>
          </w:tcPr>
          <w:p>
            <w:pPr>
              <w:spacing w:after="40" w:before="40" w:line="283" w:lineRule="auto"/>
            </w:pPr>
            <w:r/>
            <w:r>
              <w:rPr>
                <w:rFonts w:ascii="微软雅黑" w:hAnsi="微软雅黑" w:eastAsia="微软雅黑"/>
                <w:b w:val="0"/>
                <w:sz w:val="18"/>
              </w:rPr>
              <w:t>AS-21 · IR-13</w:t>
            </w:r>
          </w:p>
        </w:tc>
      </w:tr>
      <w:tr>
        <w:tc>
          <w:tcPr>
            <w:tcW w:type="dxa" w:w="1814"/>
          </w:tcPr>
          <w:p>
            <w:pPr>
              <w:spacing w:after="40" w:before="40" w:line="283" w:lineRule="auto"/>
            </w:pPr>
            <w:r/>
            <w:r>
              <w:rPr>
                <w:rFonts w:ascii="微软雅黑" w:hAnsi="微软雅黑" w:eastAsia="微软雅黑"/>
                <w:b w:val="0"/>
                <w:sz w:val="18"/>
              </w:rPr>
              <w:t>未澄清字段的处置</w:t>
            </w:r>
          </w:p>
        </w:tc>
        <w:tc>
          <w:tcPr>
            <w:tcW w:type="dxa" w:w="4876"/>
          </w:tcPr>
          <w:p>
            <w:pPr>
              <w:spacing w:after="40" w:before="40" w:line="283" w:lineRule="auto"/>
            </w:pPr>
            <w:r/>
            <w:r>
              <w:rPr>
                <w:rFonts w:ascii="微软雅黑" w:hAnsi="微软雅黑" w:eastAsia="微软雅黑"/>
                <w:b w:val="0"/>
                <w:sz w:val="18"/>
              </w:rPr>
              <w:t>不可能把所有数据都对清楚，有些字段已无人知晓含义，原样留存即可</w:t>
            </w:r>
          </w:p>
        </w:tc>
        <w:tc>
          <w:tcPr>
            <w:tcW w:type="dxa" w:w="2041"/>
          </w:tcPr>
          <w:p>
            <w:pPr>
              <w:spacing w:after="40" w:before="40" w:line="283" w:lineRule="auto"/>
            </w:pPr>
            <w:r/>
            <w:r>
              <w:rPr>
                <w:rFonts w:ascii="微软雅黑" w:hAnsi="微软雅黑" w:eastAsia="微软雅黑"/>
                <w:b w:val="0"/>
                <w:sz w:val="18"/>
              </w:rPr>
              <w:t>AS-04 · DD-37</w:t>
            </w:r>
          </w:p>
        </w:tc>
      </w:tr>
      <w:tr>
        <w:tc>
          <w:tcPr>
            <w:tcW w:type="dxa" w:w="1814"/>
          </w:tcPr>
          <w:p>
            <w:pPr>
              <w:spacing w:after="40" w:before="40" w:line="283" w:lineRule="auto"/>
            </w:pPr>
            <w:r/>
            <w:r>
              <w:rPr>
                <w:rFonts w:ascii="微软雅黑" w:hAnsi="微软雅黑" w:eastAsia="微软雅黑"/>
                <w:b w:val="0"/>
                <w:sz w:val="18"/>
              </w:rPr>
              <w:t>历史与新数据的分离层级</w:t>
            </w:r>
          </w:p>
        </w:tc>
        <w:tc>
          <w:tcPr>
            <w:tcW w:type="dxa" w:w="4876"/>
          </w:tcPr>
          <w:p>
            <w:pPr>
              <w:spacing w:after="40" w:before="40" w:line="283" w:lineRule="auto"/>
            </w:pPr>
            <w:r/>
            <w:r>
              <w:rPr>
                <w:rFonts w:ascii="微软雅黑" w:hAnsi="微软雅黑" w:eastAsia="微软雅黑"/>
                <w:b w:val="0"/>
                <w:sz w:val="18"/>
              </w:rPr>
              <w:t>Hexagon 历史数据与 DS 新数据各自保存；经确认为 raw 与 staging 分离、core 汇合</w:t>
            </w:r>
          </w:p>
        </w:tc>
        <w:tc>
          <w:tcPr>
            <w:tcW w:type="dxa" w:w="2041"/>
          </w:tcPr>
          <w:p>
            <w:pPr>
              <w:spacing w:after="40" w:before="40" w:line="283" w:lineRule="auto"/>
            </w:pPr>
            <w:r/>
            <w:r>
              <w:rPr>
                <w:rFonts w:ascii="微软雅黑" w:hAnsi="微软雅黑" w:eastAsia="微软雅黑"/>
                <w:b w:val="0"/>
                <w:sz w:val="18"/>
              </w:rPr>
              <w:t>DD-39</w:t>
            </w:r>
          </w:p>
        </w:tc>
      </w:tr>
      <w:tr>
        <w:tc>
          <w:tcPr>
            <w:tcW w:type="dxa" w:w="1814"/>
          </w:tcPr>
          <w:p>
            <w:pPr>
              <w:spacing w:after="40" w:before="40" w:line="283" w:lineRule="auto"/>
            </w:pPr>
            <w:r/>
            <w:r>
              <w:rPr>
                <w:rFonts w:ascii="微软雅黑" w:hAnsi="微软雅黑" w:eastAsia="微软雅黑"/>
                <w:b w:val="0"/>
                <w:sz w:val="18"/>
              </w:rPr>
              <w:t>调度员的部门归属</w:t>
            </w:r>
          </w:p>
        </w:tc>
        <w:tc>
          <w:tcPr>
            <w:tcW w:type="dxa" w:w="4876"/>
          </w:tcPr>
          <w:p>
            <w:pPr>
              <w:spacing w:after="40" w:before="40" w:line="283" w:lineRule="auto"/>
            </w:pPr>
            <w:r/>
            <w:r>
              <w:rPr>
                <w:rFonts w:ascii="微软雅黑" w:hAnsi="微软雅黑" w:eastAsia="微软雅黑"/>
                <w:b w:val="0"/>
                <w:sz w:val="18"/>
              </w:rPr>
              <w:t>911 中心调度员来自不同派驻部门，会收到不同报表；当前由 CAD 自行维护部门归属；主管也分部门，接警员不分；调岗后按当前部门判定权限，不保留原部门历史可见性</w:t>
            </w:r>
          </w:p>
        </w:tc>
        <w:tc>
          <w:tcPr>
            <w:tcW w:type="dxa" w:w="2041"/>
          </w:tcPr>
          <w:p>
            <w:pPr>
              <w:spacing w:after="40" w:before="40" w:line="283" w:lineRule="auto"/>
            </w:pPr>
            <w:r/>
            <w:r>
              <w:rPr>
                <w:rFonts w:ascii="微软雅黑" w:hAnsi="微软雅黑" w:eastAsia="微软雅黑"/>
                <w:b w:val="0"/>
                <w:sz w:val="18"/>
              </w:rPr>
              <w:t>AS-14（已推翻）· DD-41</w:t>
            </w:r>
          </w:p>
        </w:tc>
      </w:tr>
      <w:tr>
        <w:tc>
          <w:tcPr>
            <w:tcW w:type="dxa" w:w="1814"/>
          </w:tcPr>
          <w:p>
            <w:pPr>
              <w:spacing w:after="40" w:before="40" w:line="283" w:lineRule="auto"/>
            </w:pPr>
            <w:r/>
            <w:r>
              <w:rPr>
                <w:rFonts w:ascii="微软雅黑" w:hAnsi="微软雅黑" w:eastAsia="微软雅黑"/>
                <w:b w:val="0"/>
                <w:sz w:val="18"/>
              </w:rPr>
              <w:t>2.3.9.7 跨机构共同报表</w:t>
            </w:r>
          </w:p>
        </w:tc>
        <w:tc>
          <w:tcPr>
            <w:tcW w:type="dxa" w:w="4876"/>
          </w:tcPr>
          <w:p>
            <w:pPr>
              <w:spacing w:after="40" w:before="40" w:line="283" w:lineRule="auto"/>
            </w:pPr>
            <w:r/>
            <w:r>
              <w:rPr>
                <w:rFonts w:ascii="微软雅黑" w:hAnsi="微软雅黑" w:eastAsia="微软雅黑"/>
                <w:b w:val="0"/>
                <w:sz w:val="18"/>
              </w:rPr>
              <w:t>属 IRMS 范围，不由本方交付</w:t>
            </w:r>
          </w:p>
        </w:tc>
        <w:tc>
          <w:tcPr>
            <w:tcW w:type="dxa" w:w="2041"/>
          </w:tcPr>
          <w:p>
            <w:pPr>
              <w:spacing w:after="40" w:before="40" w:line="283" w:lineRule="auto"/>
            </w:pPr>
            <w:r/>
            <w:r>
              <w:rPr>
                <w:rFonts w:ascii="微软雅黑" w:hAnsi="微软雅黑" w:eastAsia="微软雅黑"/>
                <w:b w:val="0"/>
                <w:sz w:val="18"/>
              </w:rPr>
              <w:t>DD-41</w:t>
            </w:r>
          </w:p>
        </w:tc>
      </w:tr>
    </w:tbl>
    <w:p>
      <w:pPr>
        <w:spacing w:before="0" w:after="140"/>
      </w:pPr>
    </w:p>
    <w:p>
      <w:r>
        <w:br w:type="page"/>
      </w:r>
    </w:p>
    <w:p>
      <w:pPr>
        <w:pStyle w:val="Heading1"/>
      </w:pPr>
      <w:r>
        <w:t>6  建议发出的四组询问件</w:t>
      </w:r>
    </w:p>
    <w:p>
      <w:pPr>
        <w:spacing w:before="0" w:after="80"/>
      </w:pPr>
      <w:r>
        <w:rPr>
          <w:rFonts w:ascii="微软雅黑" w:hAnsi="微软雅黑" w:eastAsia="微软雅黑"/>
          <w:b w:val="0"/>
          <w:sz w:val="21"/>
        </w:rPr>
        <w:t>信息需求登记册按来源归并后，可直接形成四组对外询问件。建议按下表的优先次序发出，其中前两组的答复周期最长，应最先发出。</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701"/>
        <w:gridCol w:w="2721"/>
        <w:gridCol w:w="3402"/>
        <w:gridCol w:w="907"/>
      </w:tblGrid>
      <w:tr>
        <w:trPr>
          <w:tblHeader/>
        </w:trPr>
        <w:tc>
          <w:tcPr>
            <w:tcW w:type="dxa" w:w="1701"/>
            <w:shd w:val="clear" w:fill="EEF2FD"/>
          </w:tcPr>
          <w:p>
            <w:pPr>
              <w:spacing w:after="40" w:before="40"/>
            </w:pPr>
            <w:r/>
            <w:r>
              <w:rPr>
                <w:rFonts w:ascii="微软雅黑" w:hAnsi="微软雅黑" w:eastAsia="微软雅黑"/>
                <w:b/>
                <w:color w:val="1E3A8A"/>
                <w:sz w:val="18"/>
              </w:rPr>
              <w:t>对象</w:t>
            </w:r>
          </w:p>
        </w:tc>
        <w:tc>
          <w:tcPr>
            <w:tcW w:type="dxa" w:w="2721"/>
            <w:shd w:val="clear" w:fill="EEF2FD"/>
          </w:tcPr>
          <w:p>
            <w:pPr>
              <w:spacing w:after="40" w:before="40"/>
            </w:pPr>
            <w:r/>
            <w:r>
              <w:rPr>
                <w:rFonts w:ascii="微软雅黑" w:hAnsi="微软雅黑" w:eastAsia="微软雅黑"/>
                <w:b/>
                <w:color w:val="1E3A8A"/>
                <w:sz w:val="18"/>
              </w:rPr>
              <w:t>包含的信息需求</w:t>
            </w:r>
          </w:p>
        </w:tc>
        <w:tc>
          <w:tcPr>
            <w:tcW w:type="dxa" w:w="3402"/>
            <w:shd w:val="clear" w:fill="EEF2FD"/>
          </w:tcPr>
          <w:p>
            <w:pPr>
              <w:spacing w:after="40" w:before="40"/>
            </w:pPr>
            <w:r/>
            <w:r>
              <w:rPr>
                <w:rFonts w:ascii="微软雅黑" w:hAnsi="微软雅黑" w:eastAsia="微软雅黑"/>
                <w:b/>
                <w:color w:val="1E3A8A"/>
                <w:sz w:val="18"/>
              </w:rPr>
              <w:t>建议形式</w:t>
            </w:r>
          </w:p>
        </w:tc>
        <w:tc>
          <w:tcPr>
            <w:tcW w:type="dxa" w:w="907"/>
            <w:shd w:val="clear" w:fill="EEF2FD"/>
          </w:tcPr>
          <w:p>
            <w:pPr>
              <w:spacing w:after="40" w:before="40"/>
            </w:pPr>
            <w:r/>
            <w:r>
              <w:rPr>
                <w:rFonts w:ascii="微软雅黑" w:hAnsi="微软雅黑" w:eastAsia="微软雅黑"/>
                <w:b/>
                <w:color w:val="1E3A8A"/>
                <w:sz w:val="18"/>
              </w:rPr>
              <w:t>优先次序</w:t>
            </w:r>
          </w:p>
        </w:tc>
      </w:tr>
      <w:tr>
        <w:tc>
          <w:tcPr>
            <w:tcW w:type="dxa" w:w="1701"/>
          </w:tcPr>
          <w:p>
            <w:pPr>
              <w:spacing w:after="40" w:before="40" w:line="283" w:lineRule="auto"/>
            </w:pPr>
            <w:r/>
            <w:r>
              <w:rPr>
                <w:rFonts w:ascii="微软雅黑" w:hAnsi="微软雅黑" w:eastAsia="微软雅黑"/>
                <w:b w:val="0"/>
                <w:sz w:val="18"/>
              </w:rPr>
              <w:t>DS（CAD）</w:t>
            </w:r>
          </w:p>
        </w:tc>
        <w:tc>
          <w:tcPr>
            <w:tcW w:type="dxa" w:w="2721"/>
          </w:tcPr>
          <w:p>
            <w:pPr>
              <w:spacing w:after="40" w:before="40" w:line="283" w:lineRule="auto"/>
            </w:pPr>
            <w:r>
              <w:t>IR-01 至 IR-07 · IR-41 · IR-42 · IR-43</w:t>
            </w:r>
          </w:p>
        </w:tc>
        <w:tc>
          <w:tcPr>
            <w:tcW w:type="dxa" w:w="3402"/>
          </w:tcPr>
          <w:p>
            <w:pPr>
              <w:spacing w:after="40" w:before="40" w:line="283" w:lineRule="auto"/>
            </w:pPr>
            <w:r/>
            <w:r>
              <w:rPr>
                <w:rFonts w:ascii="微软雅黑" w:hAnsi="微软雅黑" w:eastAsia="微软雅黑"/>
                <w:b w:val="0"/>
                <w:sz w:val="18"/>
              </w:rPr>
              <w:t>技术对接会 + 书面接口需求单，结论纳入接口协议</w:t>
            </w:r>
          </w:p>
        </w:tc>
        <w:tc>
          <w:tcPr>
            <w:tcW w:type="dxa" w:w="907"/>
          </w:tcPr>
          <w:p>
            <w:pPr>
              <w:spacing w:after="40" w:before="40" w:line="283" w:lineRule="auto"/>
            </w:pPr>
            <w:r/>
            <w:r>
              <w:rPr>
                <w:rFonts w:ascii="微软雅黑" w:hAnsi="微软雅黑" w:eastAsia="微软雅黑"/>
                <w:b w:val="0"/>
                <w:sz w:val="18"/>
              </w:rPr>
              <w:t>1</w:t>
            </w:r>
          </w:p>
        </w:tc>
      </w:tr>
      <w:tr>
        <w:tc>
          <w:tcPr>
            <w:tcW w:type="dxa" w:w="1701"/>
          </w:tcPr>
          <w:p>
            <w:pPr>
              <w:spacing w:after="40" w:before="40" w:line="283" w:lineRule="auto"/>
            </w:pPr>
            <w:r/>
            <w:r>
              <w:rPr>
                <w:rFonts w:ascii="微软雅黑" w:hAnsi="微软雅黑" w:eastAsia="微软雅黑"/>
                <w:b w:val="0"/>
                <w:sz w:val="18"/>
              </w:rPr>
              <w:t>ICP（华为）</w:t>
            </w:r>
          </w:p>
        </w:tc>
        <w:tc>
          <w:tcPr>
            <w:tcW w:type="dxa" w:w="2721"/>
          </w:tcPr>
          <w:p>
            <w:pPr>
              <w:spacing w:after="40" w:before="40" w:line="283" w:lineRule="auto"/>
            </w:pPr>
            <w:r/>
            <w:r>
              <w:rPr>
                <w:rFonts w:ascii="微软雅黑" w:hAnsi="微软雅黑" w:eastAsia="微软雅黑"/>
                <w:b w:val="0"/>
                <w:sz w:val="18"/>
              </w:rPr>
              <w:t>IR-08 至 IR-11</w:t>
            </w:r>
          </w:p>
        </w:tc>
        <w:tc>
          <w:tcPr>
            <w:tcW w:type="dxa" w:w="3402"/>
          </w:tcPr>
          <w:p>
            <w:pPr>
              <w:spacing w:after="40" w:before="40" w:line="283" w:lineRule="auto"/>
            </w:pPr>
            <w:r/>
            <w:r>
              <w:rPr>
                <w:rFonts w:ascii="微软雅黑" w:hAnsi="微软雅黑" w:eastAsia="微软雅黑"/>
                <w:b w:val="0"/>
                <w:sz w:val="18"/>
              </w:rPr>
              <w:t>书面接口需求单，IR-11 逐项列出五类指标要求逐项答复</w:t>
            </w:r>
          </w:p>
        </w:tc>
        <w:tc>
          <w:tcPr>
            <w:tcW w:type="dxa" w:w="907"/>
          </w:tcPr>
          <w:p>
            <w:pPr>
              <w:spacing w:after="40" w:before="40" w:line="283" w:lineRule="auto"/>
            </w:pPr>
            <w:r/>
            <w:r>
              <w:rPr>
                <w:rFonts w:ascii="微软雅黑" w:hAnsi="微软雅黑" w:eastAsia="微软雅黑"/>
                <w:b w:val="0"/>
                <w:sz w:val="18"/>
              </w:rPr>
              <w:t>1</w:t>
            </w:r>
          </w:p>
        </w:tc>
      </w:tr>
      <w:tr>
        <w:tc>
          <w:tcPr>
            <w:tcW w:type="dxa" w:w="1701"/>
          </w:tcPr>
          <w:p>
            <w:pPr>
              <w:spacing w:after="40" w:before="40" w:line="283" w:lineRule="auto"/>
            </w:pPr>
            <w:r/>
            <w:r>
              <w:rPr>
                <w:rFonts w:ascii="微软雅黑" w:hAnsi="微软雅黑" w:eastAsia="微软雅黑"/>
                <w:b w:val="0"/>
                <w:sz w:val="18"/>
              </w:rPr>
              <w:t>总包商 / 基础设施</w:t>
            </w:r>
          </w:p>
        </w:tc>
        <w:tc>
          <w:tcPr>
            <w:tcW w:type="dxa" w:w="2721"/>
          </w:tcPr>
          <w:p>
            <w:pPr>
              <w:spacing w:after="40" w:before="40" w:line="283" w:lineRule="auto"/>
            </w:pPr>
            <w:r/>
            <w:r>
              <w:rPr>
                <w:rFonts w:ascii="微软雅黑" w:hAnsi="微软雅黑" w:eastAsia="微软雅黑"/>
                <w:b w:val="0"/>
                <w:sz w:val="18"/>
              </w:rPr>
              <w:t>IR-20 至 IR-26 · IR-29 · IR-30 · IR-36 · IR-37 · IR-39</w:t>
            </w:r>
          </w:p>
        </w:tc>
        <w:tc>
          <w:tcPr>
            <w:tcW w:type="dxa" w:w="3402"/>
          </w:tcPr>
          <w:p>
            <w:pPr>
              <w:spacing w:after="40" w:before="40" w:line="283" w:lineRule="auto"/>
            </w:pPr>
            <w:r/>
            <w:r>
              <w:rPr>
                <w:rFonts w:ascii="微软雅黑" w:hAnsi="微软雅黑" w:eastAsia="微软雅黑"/>
                <w:b w:val="0"/>
                <w:sz w:val="18"/>
              </w:rPr>
              <w:t>接口文件，逐条要求答复能否满足</w:t>
            </w:r>
          </w:p>
        </w:tc>
        <w:tc>
          <w:tcPr>
            <w:tcW w:type="dxa" w:w="907"/>
          </w:tcPr>
          <w:p>
            <w:pPr>
              <w:spacing w:after="40" w:before="40" w:line="283" w:lineRule="auto"/>
            </w:pPr>
            <w:r/>
            <w:r>
              <w:rPr>
                <w:rFonts w:ascii="微软雅黑" w:hAnsi="微软雅黑" w:eastAsia="微软雅黑"/>
                <w:b w:val="0"/>
                <w:sz w:val="18"/>
              </w:rPr>
              <w:t>2</w:t>
            </w:r>
          </w:p>
        </w:tc>
      </w:tr>
      <w:tr>
        <w:tc>
          <w:tcPr>
            <w:tcW w:type="dxa" w:w="1701"/>
          </w:tcPr>
          <w:p>
            <w:pPr>
              <w:spacing w:after="40" w:before="40" w:line="283" w:lineRule="auto"/>
            </w:pPr>
            <w:r/>
            <w:r>
              <w:rPr>
                <w:rFonts w:ascii="微软雅黑" w:hAnsi="微软雅黑" w:eastAsia="微软雅黑"/>
                <w:b w:val="0"/>
                <w:sz w:val="18"/>
              </w:rPr>
              <w:t>MOI（经 Q&amp;A 或工作坊）</w:t>
            </w:r>
          </w:p>
        </w:tc>
        <w:tc>
          <w:tcPr>
            <w:tcW w:type="dxa" w:w="2721"/>
          </w:tcPr>
          <w:p>
            <w:pPr>
              <w:spacing w:after="40" w:before="40" w:line="283" w:lineRule="auto"/>
            </w:pPr>
            <w:r/>
            <w:r>
              <w:rPr>
                <w:rFonts w:ascii="微软雅黑" w:hAnsi="微软雅黑" w:eastAsia="微软雅黑"/>
                <w:b w:val="0"/>
                <w:sz w:val="18"/>
              </w:rPr>
              <w:t>IR-12 至 IR-19 · IR-27 · IR-28 · IR-31 · IR-33 至 IR-35 · IR-38 · IR-40</w:t>
            </w:r>
          </w:p>
        </w:tc>
        <w:tc>
          <w:tcPr>
            <w:tcW w:type="dxa" w:w="3402"/>
          </w:tcPr>
          <w:p>
            <w:pPr>
              <w:spacing w:after="40" w:before="40" w:line="283" w:lineRule="auto"/>
            </w:pPr>
            <w:r/>
            <w:r>
              <w:rPr>
                <w:rFonts w:ascii="微软雅黑" w:hAnsi="微软雅黑" w:eastAsia="微软雅黑"/>
                <w:b w:val="0"/>
                <w:sz w:val="18"/>
              </w:rPr>
              <w:t>正式 Q&amp;A 澄清函；数据分类政策与 DLP 须共同制定而非单向索取</w:t>
            </w:r>
          </w:p>
        </w:tc>
        <w:tc>
          <w:tcPr>
            <w:tcW w:type="dxa" w:w="907"/>
          </w:tcPr>
          <w:p>
            <w:pPr>
              <w:spacing w:after="40" w:before="40" w:line="283" w:lineRule="auto"/>
            </w:pPr>
            <w:r/>
            <w:r>
              <w:rPr>
                <w:rFonts w:ascii="微软雅黑" w:hAnsi="微软雅黑" w:eastAsia="微软雅黑"/>
                <w:b w:val="0"/>
                <w:sz w:val="18"/>
              </w:rPr>
              <w:t>2</w:t>
            </w:r>
          </w:p>
        </w:tc>
      </w:tr>
    </w:tbl>
    <w:p>
      <w:pPr>
        <w:spacing w:before="0" w:after="140"/>
      </w:pPr>
    </w:p>
    <w:p>
      <w:pPr>
        <w:spacing w:before="0" w:after="80"/>
      </w:pPr>
      <w:r>
        <w:rPr>
          <w:rFonts w:ascii="微软雅黑" w:hAnsi="微软雅黑" w:eastAsia="微软雅黑"/>
          <w:b w:val="0"/>
          <w:sz w:val="21"/>
        </w:rPr>
        <w:t>对 MOI 的询问需要特别注意提问方式。RFP 第 1.2.1.9 条规定投标人通过 Q&amp;A 确认其假设，第 1.2.1.11 条则规定写入投标文件的假设将被忽略并影响合规评估。这两条合起来意味着：边界要通过让 MOI 在答复中把话说出来的方式确立，而不是我方在投标文件中自行声明。因此问题应当写成"请确认……"或"请说明……"，让答复本身成为可引用的依据。</w:t>
      </w:r>
    </w:p>
    <w:p>
      <w:pPr>
        <w:spacing w:before="0" w:after="280"/>
      </w:pPr>
    </w:p>
    <w:p>
      <w:pPr>
        <w:spacing w:before="0" w:after="80"/>
        <w:jc w:val="center"/>
      </w:pPr>
      <w:r>
        <w:rPr>
          <w:rFonts w:ascii="微软雅黑" w:hAnsi="微软雅黑" w:eastAsia="微软雅黑"/>
          <w:b w:val="0"/>
          <w:color w:val="4B5563"/>
          <w:sz w:val="20"/>
        </w:rPr>
        <w:t>— 本文件结束 —</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微软雅黑" w:hAnsi="微软雅黑" w:eastAsia="微软雅黑"/>
        <w:b w:val="0"/>
        <w:sz w:val="21"/>
      </w:rPr>
      <w:t xml:space="preserve">  </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微软雅黑" w:hAnsi="微软雅黑" w:eastAsia="微软雅黑"/>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微软雅黑" w:hAnsi="微软雅黑" w:eastAsia="微软雅黑"/>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微软雅黑" w:hAnsi="微软雅黑" w:eastAsia="微软雅黑"/>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