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测试方案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Test Plan   ( LD-10 )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本册定义测试的层级、环境、准入准出、专项测试方法与缺陷管理，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以及用例集从需求验收标准派生的机制。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  用例不重新发明，从验收标准派生</w:t>
      </w:r>
    </w:p>
    <w:p>
      <w:pPr/>
      <w:r>
        <w:rPr>
          <w:rFonts w:ascii="微软雅黑" w:hAnsi="微软雅黑" w:eastAsia="微软雅黑"/>
          <w:b w:val="0"/>
          <w:sz w:val="21"/>
        </w:rPr>
        <w:t>HD-01 的 124 条需求每一条都写了可观察的验收标准——写的是「构造维度变更后重跑历史报表，数值不变」这样的事实，而不是「实现缓变维 Type 2」这样的动作。这是当初刻意的做法，目的正是让测试用例可以直接派生。</w:t>
      </w:r>
    </w:p>
    <w:p>
      <w:pPr/>
      <w:r>
        <w:rPr>
          <w:rFonts w:ascii="微软雅黑" w:hAnsi="微软雅黑" w:eastAsia="微软雅黑"/>
          <w:b w:val="0"/>
          <w:sz w:val="21"/>
        </w:rPr>
        <w:t>因此本册不另起炉灶：用例集的第一部分由 HD-02 的需求清单机器生成，每条需求至少一条用例，验收标准原文即为期望结果。这样做有三个后果——覆盖率天然完整、口径不会在转写中走样、需求变更时用例可重新生成而不是人工追改。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test/cases_seed.csv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用例集，142 条。前 124 条派生自需求验收标准，后 18 条为实现纪律用例（见第 2 章）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用例编号为 TC-&lt;领域&gt;-&lt;序号&gt;，与需求编号一一对应；纪律用例编号为 TC-DISC-&lt;序号&gt;，对应的是设计决策而非需求。用例集是受控文件，随 HD-01 与 HD-02 的变更重新生成。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一句先说在前面的话    测试用例应当先于实现写出来。它不只是为了验收——用例写不下去的地方，往往是需求本身没写清楚。124 条验收标准中若有任何一条派生不出可执行的用例，那是需求的缺陷，应当回到 HD-01 修，而不是在测试里将就。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凭方案讨论的记忆去理解需求会漏掉硬指标。条款级的逐条复核不可省略。HD-02 追溯矩阵中"需人工复核的条款"一页保留了 32 条尚未被需求直接引用的条款，开发组应在开工前逐条确认它们确实已被领域需求覆盖。这一页不应长期保持非空。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2  十八条纪律用例：把「最容易走错的地方」变成可执行的检查</w:t>
      </w:r>
    </w:p>
    <w:p>
      <w:pPr/>
      <w:r>
        <w:rPr>
          <w:rFonts w:ascii="微软雅黑" w:hAnsi="微软雅黑" w:eastAsia="微软雅黑"/>
          <w:b w:val="0"/>
          <w:sz w:val="21"/>
        </w:rPr>
        <w:t>LD-00 第 4 章与 HD-00 第 4 章各列了六条实现纪律。它们的共同特征是：违反之后系统仍然能跑，不报错，问题会在上线后以很难修复的方式出现。这类问题不会被常规功能测试发现，因为功能是正常的。</w:t>
      </w:r>
    </w:p>
    <w:p>
      <w:pPr/>
      <w:r>
        <w:rPr>
          <w:rFonts w:ascii="微软雅黑" w:hAnsi="微软雅黑" w:eastAsia="微软雅黑"/>
          <w:b w:val="0"/>
          <w:sz w:val="21"/>
        </w:rPr>
        <w:t>因此把每一条纪律写成一条用例，与需求用例同等对待。举三个例子说明它们为什么必须单独存在：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检查什么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为什么常规测试发现不了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TC-DISC-01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以民防调度员为订阅人生成跨警种报表，产物是否只含民防数据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订阅分发以系统身份而非用户身份运行。功能测试会验证「报表能生成」，不会验证「以谁的权限生成」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TC-DISC-02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同一查询先后以主管与接警员身份执行，返回列集合是否不同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缓存命中时功能完全正常，只是内容多了几列。除非专门比对，否则看不出来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TC-DISC-03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部门映射不到有效警种编码时的行为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静默返回空结果在功能上「没有报错」，用户会以为今天没有警情，而不是以为自己没有权限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TC-DISC-04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构造「9 月 30 日 23:50 发生、10 月 1 日 00:20 关闭」与「12 月 31 日发生、次年 1 月 2 日关闭」两条派警单：10 月结案数与次年 1 月结案数须各含其一，9 月与 12 月的发生量亦须各含其一（DD-79）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发生日与关闭日分属两个分区。若服务层把查询时间范围同时套到分区键 date_key 上，跨期关闭的单据静默消失，不报错，单月对数也不一定能看出来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TC-ING-01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raw 按月分区后去重 NOT EXISTS 的耗时：按预计历史量（八年、数亿行、近百分区）灌入合成 raw，测单批（一天十余万行）去重语句的耗时与随分区数的增长曲线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开发环境只有几个分区、几十万行，去重永远是毫秒级；不带分区键的 NOT EXISTS 要查遍各分区的索引，耗时随分区数线性增长，只有到接近真实规模才看得出是否可接受（LD-02 第 9 章，DD-88 将此列为待验证而非已成立）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TC-ING-02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中间库「更新后延迟提交」：在 cad_mirror 中开一个事务更新一行（触发器写入 mirror_updated_at = T0），保持不提交，期间让接入按心跳围栏推进若干个周期，再提交；检查该行是否被取到。再测 DS 违反规范（心跳先于数据提交写入）时的漏数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触发器时间戳不是提交时间；开发环境里事务都是立即提交的，永远看不到这一条。心跳围栏成立的前提是 DS 周期串行、心跳后写，这两条是对方的行为，只能用违反它们的用例去验证本方的防线（回扫）能否兜住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其余十五条覆盖：raw 只追加、mart 与 ai 不引用 raw、展现层不直连数据库、未映射值不入「其他」、实时状态不落库、封账快照不可变、分区表主键的跨分区唯一性、core 重建的幂等性、自然键的转义与撞键、AI 包不可用时的降级、网关不可用时的投递留痕、移动端受众拒绝记录级接口、权限按当前而统计按当时、AI 结果不写入业务事实表、以及插图与正文的一致性。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3  测试层级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层级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范围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执行方式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dbt 模型的字段级断言、服务层的函数与转换逻辑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随每次提交自动执行，失败即阻断合并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集成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跨组件的数据链路与接口契约：接入到 raw 到 core 到 mart、服务层到数据库、对外接口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每日构建自动执行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数据质量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参照完整性、粒度唯一性、口径一致性、跨系统对账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随模型构建执行，失败即阻断发布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专项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性能、迁移对账、高可用演练、权限矩阵、阿语版式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按第 5 章分别定义，多数不可完全自动化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124 条验收标准逐条核验，与 MOI 共同执行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里程碑节点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数据质量测试值得单列而不是并入集成测试。它检查的不是「代码是否按设计工作」，而是「数据是否仍然可信」——参照完整性、粒度唯一性这类断言在事实表之间没有外键约束的前提下（LD-02 第 5 章）是唯一的保障手段，因此它必须有阻断发布的权力。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4  环境与一个必须正视的限制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环境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规格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可以做什么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 / 集成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台虚机 · 20 vCPU · 80 GB · 脱敏子集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单元、集成、数据质量、功能、权限矩阵、回归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培训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台虚机 · 16 vCPU · 64 GB · 匿名化数据集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按角色的培训演练与界面验收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 台虚机 · 146 vCPU · 完整高可用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性能验收、高可用演练、恢复演练、服务水平判定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性能与高可用的验收只能在生产环境完成    测试环境是 3 台虚机、无高可用拓扑，与生产的 22 台差着一个数量级。在这样的环境上跑出来的响应时间与切换时长，既不能用来证明达标，也不能用来证明不达标。RFP 1.6.7.5 的三档响应时间、REQ-AVL-02 的 RTO 不超过两分钟、REQ-BAK-01 的任意时间点恢复，都必须在生产环境或等配环境验收。这意味着项目计划中需要一个生产环境的验收窗口，且因涉及主库故障注入，须按 REQ-AVL-03 逐次报批停机并避开 MOI 设定的禁止窗口。这一条越早与 MOI 谈定越好——朝觐季全程禁窗的可能性是真实存在的。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凭方案讨论的记忆去理解需求会漏掉硬指标。条款级的逐条复核不可省略。HD-02 追溯矩阵中"需人工复核的条款"一页保留了 32 条尚未被需求直接引用的条款，开发组应在开工前逐条确认它们确实已被领域需求覆盖。这一页不应长期保持非空。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测试环境在性能上仍有用途：做回归与趋势对比。同一套压测脚本在测试环境的历史曲线，能在代码引入性能退化时提前发现，只是不能用于验收。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5  专项测试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5.1  性能：三档分别验收，测量点在浏览器</w:t>
      </w:r>
    </w:p>
    <w:p>
      <w:pPr/>
      <w:r>
        <w:rPr>
          <w:rFonts w:ascii="微软雅黑" w:hAnsi="微软雅黑" w:eastAsia="微软雅黑"/>
          <w:b w:val="0"/>
          <w:sz w:val="21"/>
        </w:rPr>
        <w:t>RFP 1.6.7.2 把响应时间定义为末次击键或指针动作与屏幕出现结果之间的时间，含前端渲染。因此压测不能只用接口压测工具，必须是浏览器驱动的端到端压测。DD-36 定的三档分别验收：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档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范围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目标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实时推送路径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大屏与实时看板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至 10 秒刷新，标注指示性，不适用亚秒要求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快速查询路径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近一年数据，mart 预聚合与缓存覆盖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 95% 亚秒，峰值 99% 低于 2 秒，无常规事务超过 3 秒；服务端目标 400 至 500 毫秒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历史查询路径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一年以上数据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允许秒级，超阈值转异步；验证界面是否明确提示已进入历史查询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另需验证两件常被忽略的事：首屏加载与交互式操作分开统计（两者难度不同，口径须事先与 MOI 谈定）；历史查询走独立低优先级配额，一个人拉八年数据不得拖慢他人的仪表板。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5.2  迁移：记录级 100% 对账</w:t>
      </w:r>
    </w:p>
    <w:p>
      <w:pPr/>
      <w:r>
        <w:rPr>
          <w:rFonts w:ascii="微软雅黑" w:hAnsi="微软雅黑" w:eastAsia="微软雅黑"/>
          <w:b w:val="0"/>
          <w:sz w:val="21"/>
        </w:rPr>
        <w:t>RFP 2.7.7.10 要求记录级完整对账，不得仅依赖统计抽样。千万行量级完全可行，属我方加分项（CN-16）。对账口径按 DD-37 定义为：记录数与关键字段逐条一致，未澄清字段原样保留且可追溯至源端。</w:t>
      </w:r>
    </w:p>
    <w:p>
      <w:pPr/>
      <w:r>
        <w:rPr>
          <w:rFonts w:ascii="微软雅黑" w:hAnsi="微软雅黑" w:eastAsia="微软雅黑"/>
          <w:b w:val="0"/>
          <w:sz w:val="21"/>
        </w:rPr>
        <w:t>须专门验证的是保真（RFP 2.7.7.5 与 2.7.7.6）：时间戳保留原始时区偏移、事件时序与源端一致、关联关系无丢失、数值精度与文本长度无截断。以及多版本 schema 的归一化——至少两个不同 schema 版本的历史数据集完成归一化并通过对账（REQ-ING-08）。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5.3  高可用：故障注入而非配置核查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演练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验收标准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拔除主库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业务在 2 分钟内恢复且无数据丢失（RPO 为 0 · RTO 不超过 2 分钟）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分析副本失效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报表查询转向同步备库以只读方式服务，性能下降但不中断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备库故障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主库继续服务并告警，不因备库不可用而阻塞写入；备库恢复后自动回到同步状态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仲裁丢失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验证两机架条件下的固有限制：数据库仍可服务，自动切换失效需人工提升（CN-26）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任意时间点恢复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恢复到指定时间点，记录恢复时长；未经演练的备份不计为有效备份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5.4  权限：按「出口路径 × 权限层」做笛卡尔积</w:t>
      </w:r>
    </w:p>
    <w:p>
      <w:pPr/>
      <w:r>
        <w:rPr>
          <w:rFonts w:ascii="微软雅黑" w:hAnsi="微软雅黑" w:eastAsia="微软雅黑"/>
          <w:b w:val="0"/>
          <w:sz w:val="21"/>
        </w:rPr>
        <w:t>权限有三层——角色决定能进哪些界面，字段级可见性矩阵决定能看到哪些列，部门级行过滤决定能看到哪些行。而出口路径有六条：查询 API、记录检索、导出、报表订阅分发、对外数据服务、MCP 绑定。</w:t>
      </w:r>
    </w:p>
    <w:p>
      <w:pPr/>
      <w:r>
        <w:rPr>
          <w:rFonts w:ascii="微软雅黑" w:hAnsi="微软雅黑" w:eastAsia="微软雅黑"/>
          <w:b w:val="0"/>
          <w:sz w:val="21"/>
        </w:rPr>
        <w:t>测试必须是这两个维度的笛卡尔积，不能只测主路径。理由在 DD-41 里写得很直白：任一出口路径遗漏，则整个控制等同于未做。十八条纪律用例中有六条属于这一类。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5.5  阿语版式与双语渲染</w:t>
      </w:r>
    </w:p>
    <w:p>
      <w:pPr/>
      <w:r>
        <w:rPr>
          <w:rFonts w:ascii="微软雅黑" w:hAnsi="微软雅黑" w:eastAsia="微软雅黑"/>
          <w:b w:val="0"/>
          <w:sz w:val="21"/>
        </w:rPr>
        <w:t>每份报表有阿语版与英语版两套模板，各自单向排版，不做混排（DD-22）。测试对象是：阿语版为从右至左版式、字形整形与连字正确、阿拉伯语数字与拉丁数字混排时方向正确、表格列序正确、维度取值按所选语言取用对应名称（REQ-RPT-09）。</w:t>
      </w:r>
    </w:p>
    <w:p>
      <w:pPr/>
      <w:r>
        <w:rPr>
          <w:rFonts w:ascii="微软雅黑" w:hAnsi="微软雅黑" w:eastAsia="微软雅黑"/>
          <w:b w:val="0"/>
          <w:sz w:val="21"/>
        </w:rPr>
        <w:t>这一项的前置是 LD-00 第 3 章登记的阿拉伯语 PDF 渲染技术验证。验证未通过前，四十张报表的版式用例无法定稿。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6  测试数据</w:t>
      </w:r>
    </w:p>
    <w:p>
      <w:pPr/>
      <w:r>
        <w:rPr>
          <w:rFonts w:ascii="微软雅黑" w:hAnsi="微软雅黑" w:eastAsia="微软雅黑"/>
          <w:b w:val="0"/>
          <w:sz w:val="21"/>
        </w:rPr>
        <w:t>测试环境使用生产数据的脱敏子集，培训环境使用匿名化数据集，两者都不得包含可回溯到真实个人或真实警情的内容（REQ-SEC-04）。脱敏规则的对象清单由 M-11 的扫描结果生成，不人工枚举（DD-40）。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要求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数据生成本身是交付物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脱敏与匿名化脚本须版本化、可重复执行、结果可核查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覆盖度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测试数据须覆盖多警种派单、多警员出警、多次反馈、无通话的警情、跨日关闭的单据、未映射代码值等边界情形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前置门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数据分类政策未经 MOI 批准前，培训环境不得部署数据库（CN-13 · CN-14）。测试数据的准备工作可以先行，部署不可以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7  准入与准出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阶段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准入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准出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集成测试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单元测试全绿；数据质量断言无阻断项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集成用例通过率 100%；遗留缺陷均为可接受等级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专项测试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集成测试通过；生产环境就绪且停机窗口已报批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性能三档达成并有报告；高可用与恢复演练完成并留痕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专项测试通过；124 条验收标准逐条有证据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MOI 签署；判定口径的书面认可已取得（IR-21）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有一条准入是硬的：性能与高可用的验收不得在测试环境进行（第 4 章）。以测试环境的数据充作验收证据，在争议发生时等同于没有证据。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8  缺陷管理与追溯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等级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定义与处理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阻断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数据错误、权限失效、封账被破坏、服务水平不达标。不修复不得进入下一阶段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严重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功能不可用或口径错误但有临时规避手段。须在本阶段内修复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一般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体验或非关键功能问题。可带入下一阶段，须有计划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外部依赖导致、或需业务确认后才能判定。登记并跟踪，不阻断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凡涉及数据正确性、权限与封账的缺陷一律为阻断级，不论表现是否轻微——这三类问题的共同特征是不报错，一旦带入生产就很难被发现。</w:t>
      </w:r>
    </w:p>
    <w:p>
      <w:pPr/>
      <w:r>
        <w:rPr>
          <w:rFonts w:ascii="微软雅黑" w:hAnsi="微软雅黑" w:eastAsia="微软雅黑"/>
          <w:b w:val="0"/>
          <w:sz w:val="21"/>
        </w:rPr>
        <w:t>追溯上，用例编号与需求编号一一对应，执行结果回填 HD-02 追溯矩阵的开发状态列。验收时提交的是「需求到用例到证据」的完整链条，而不是一份测试报告。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9  待确认项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影响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IR-21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服务水平与性能判定口径的书面认可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含三档响应时间的分档口径、探测点、失败判定与数据留存。未事先谈定则自证无效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REQ-AVL-03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生产环境验收窗口与停机报批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高可用演练需注入主库故障。朝觐季全程禁窗的可能性真实存在，越早谈越好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DD-16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阿拉伯语 PDF 渲染验证结论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未通过前四十张报表的版式用例无法定稿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IR-11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ICP 五类话务指标能否提供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若不提供，R-03 至 R-07 五张报表的用例整体作废，需走变更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IR-13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迁移验收的参照报表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对账口径已定，尚缺 MOI 认可的参照报表以完成验收设计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</w:r>
    </w:p>
    <w:p>
      <w:pPr/>
      <w:r>
        <w:rPr>
          <w:rFonts w:ascii="微软雅黑" w:hAnsi="微软雅黑" w:eastAsia="微软雅黑"/>
          <w:b w:val="0"/>
          <w:sz w:val="21"/>
        </w:rPr>
        <w:t>—  本册结束  —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