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数据接入详细设计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Ingestion   ( LD-01 )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本册定义五类连接器的运行规格、源契约的字段语义与变更流程、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归档库的迁移与多版本归一方法，以及校验、隔离、对账与观测的规则。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4 章，回答的是「数据怎么进来、进来的是什么、进错了怎么办」。表结构在 LD-02，指标口径在 LD-03，服务层接口在 LD-04，安全与权限在 LD-07。</w:t>
      </w:r>
    </w:p>
    <w:p>
      <w:pPr/>
      <w:r>
        <w:t>接入层只有一件事是不可协商的：raw 层只做「源端原样落地」，不得在装载时应用任何版本判断、列对应关系或业务解释。所有解释性工作——版本归一、字段语义对齐、编码体系判定——一律在 staging 的 dbt 模型中完成。这条原则的价值在于代价的位置：解释错了只需 dbt run 重跑，而不必回源端重拉数据。归档十年数据重拉一次意味着重新申请权限、重新排期、重新占用他方系统的资源，那是以周计的代价（DD-58）。</w:t>
      </w:r>
    </w:p>
    <w:p/>
    <w:p>
      <w:pPr>
        <w:pStyle w:val="Heading1"/>
      </w:pPr>
      <w:r>
        <w:t>2  源契约</w:t>
      </w:r>
    </w:p>
    <w:p>
      <w:pPr>
        <w:pStyle w:val="Heading2"/>
      </w:pPr>
      <w:r>
        <w:t>2.1  契约是接入的唯一入口</w:t>
      </w:r>
    </w:p>
    <w:p>
      <w:pPr/>
      <w:r>
        <w:t>任何一条数据进入本系统，都必须先有一份登记在 meta.source_contract 中的契约。没有契约的表、列、文件或消息一律不接，即便源端已经把它准备好了。这不是流程洁癖：契约同时承载幂等键的声明、目标 raw 表的指向与契约版本号，缺了它，重跑的幂等性与结构漂移的检测都无从谈起。</w:t>
      </w:r>
    </w:p>
    <w:p/>
    <w:p>
      <w:pPr>
        <w:pStyle w:val="Heading2"/>
      </w:pPr>
      <w:r>
        <w:t>2.2  幂等键的声明与生成</w:t>
      </w:r>
    </w:p>
    <w:p>
      <w:pPr/>
      <w:r>
        <w:t>幂等键由契约声明哪几列参与，运行时以 core.nk() 把这些列的值拼成规范形式：转义反斜杠与竖线、以竖线分隔、任一列为 NULL 时直接报错而不是拼出一个看似正常的键。报错是刻意的——一个含 NULL 的幂等键会在下一次重跑时生成不同的值，静默产生重复行。</w:t>
      </w:r>
    </w:p>
    <w:p>
      <w:pPr/>
      <w:r>
        <w:t>代理键由 core.sk(site_code, src_system, natural_key) 生成，是 UUID v5 的确定性哈希。同一条源记录无论装载多少次、在哪个环境装载，代理键恒等，这是全量重建可幂等的基础。禁止使用自增序列作为代理键：序列的值取决于装载顺序，重建一次就全变了。</w:t>
      </w:r>
    </w:p>
    <w:p>
      <w:pPr>
        <w:pStyle w:val="Heading2"/>
      </w:pPr>
      <w:r>
        <w:t>2.3  每一列都要有一行登记</w:t>
      </w:r>
    </w:p>
    <w:p>
      <w:pPr/>
      <w:r>
        <w:t>契约范围内的每一列在 meta.mapping_registry 中都必须有一行，状态取 verified、mapped_unverified、unknown 之一。结构漂移检测发现的新列默认落 unknown。这条规则的用意是：空白会被遗忘，未知会被统计并排期。运行监控上「unknown 列数」是一个显式指标，它不为零本身不是故障，但它长期不为零且无人处置，就是。</w:t>
      </w:r>
    </w:p>
    <w:p>
      <w:pPr>
        <w:pStyle w:val="Heading2"/>
      </w:pPr>
      <w:r>
        <w:t>2.4  凭据不入契约</w:t>
      </w:r>
    </w:p>
    <w:p>
      <w:pPr/>
      <w:r>
        <w:t>数据库口令、API 令牌、SFTP 私钥一律不写入 definition，也不写入配置文件的明文段。契约中只记录凭据的引用名，实际值由部署时注入的环境变量或密钥文件提供（部署方式见 LD-08）。理由很直接：source_contract 是一张业务人员在 M-01 界面上能看到的表。</w:t>
      </w:r>
    </w:p>
    <w:p>
      <w:pPr>
        <w:pStyle w:val="Heading1"/>
      </w:pPr>
      <w:r>
        <w:t>3  增量接入：DS CAD 展示库（IF-02）</w:t>
      </w:r>
    </w:p>
    <w:p>
      <w:pPr>
        <w:pStyle w:val="Heading2"/>
      </w:pPr>
      <w:r>
        <w:t>3.1  水位机制</w:t>
      </w:r>
    </w:p>
    <w:p>
      <w:pPr/>
      <w:r>
        <w:t>自展示库按水位增量取数，频率一分钟。水位状态存 meta.watermark_state，每次运行读取上次的高水位、以 (高水位, 本次上界] 为窗口取数，成功后才推进水位。失败不推进——宁可下次多取一遍，也不能跳过。</w:t>
      </w:r>
    </w:p>
    <w:p>
      <w:pPr/>
      <w:r>
        <w:t>本次上界不取「现在」，而取「现在减去安全边界」。安全边界的存在是因为源端事务的提交时刻晚于其时间戳：一条时间戳为 10:00:00 的记录可能在 10:00:03 才提交可见，若上界取到 10:00:00 整，这条记录就被永久跳过了。安全边界初值取 5 分钟，实际值须在联调期实测——由 DS 侧提供或由本方以重复扫描比对得出（IR-02）。</w:t>
      </w:r>
    </w:p>
    <w:p/>
    <w:p>
      <w:pPr>
        <w:pStyle w:val="Heading2"/>
      </w:pPr>
      <w:r>
        <w:t>3.2  乱序与迟到</w:t>
      </w:r>
    </w:p>
    <w:p>
      <w:pPr/>
      <w:r>
        <w:t>增量列若为业务时间（如受理时刻），则迟到数据必然存在：一条 09:58 受理的记录可能在 10:05 才写入源库，此时 10:00 的水位已经推过。因此增量列优先取源端的行更新时刻或自增标识，而非业务时间。展示库是否提供这样的列属于 IR-01 数据字典的一部分，若不提供，则必须以「业务时间减回溯窗口」的方式取数，代价是每次窗口重叠、装载量增加。</w:t>
      </w:r>
    </w:p>
    <w:p>
      <w:pPr/>
      <w:r>
        <w:t>这一条在设计上不留悬念：不论采用哪种方式，重复装载都由幂等键吸收，正确性不依赖于窗口不重叠。重叠只影响成本。</w:t>
      </w:r>
    </w:p>
    <w:p>
      <w:pPr>
        <w:pStyle w:val="Heading2"/>
      </w:pPr>
      <w:r>
        <w:t>3.3  重跑与补数</w:t>
      </w:r>
    </w:p>
    <w:p>
      <w:pPr/>
      <w:r>
        <w:t>任一批次可以按 run_id 重跑，也可以按时间范围补数。两者都是幂等的：同一条源记录重复装载只会产生同一行。补数与常规运行使用同一段代码，不存在「补数专用脚本」——专用脚本是最容易与主逻辑漂移的东西，漂移之后补出来的数与日常口径不一致，且极难发现。</w:t>
      </w:r>
    </w:p>
    <w:p>
      <w:pPr>
        <w:pStyle w:val="Heading1"/>
      </w:pPr>
      <w:r>
        <w:t>4  轮询接入：ICP 话务（IF-03）</w:t>
      </w:r>
    </w:p>
    <w:p>
      <w:pPr/>
      <w:r>
        <w:t>ICP 只提供 REST 接口，不做库复制。轮询周期 2 至 10 秒，具体值取决于 ICP 侧的限流策略（IR-08 至 IR-11）。</w:t>
      </w:r>
    </w:p>
    <w:p/>
    <w:p>
      <w:pPr>
        <w:pStyle w:val="Heading1"/>
      </w:pPr>
      <w:r>
        <w:t>5  文件接入与消息预留</w:t>
      </w:r>
    </w:p>
    <w:p>
      <w:pPr>
        <w:pStyle w:val="Heading2"/>
      </w:pPr>
      <w:r>
        <w:t>5.1  文件落地（IF-05）</w:t>
      </w:r>
    </w:p>
    <w:p>
      <w:pPr/>
      <w:r>
        <w:t>SFTP 目录监听，到达即处理。每批文件必须附 manifest：文件清单、行数、校验和。三者缺一不处理，并告警。没有 manifest 的文件不是「可以先试着解析看看」，而是来源不明的数据——它可能是上传到一半的文件。</w:t>
      </w:r>
    </w:p>
    <w:p>
      <w:pPr/>
      <w:r>
        <w:t>处理顺序为：校验和比对、行数比对、批次级内容校验、写入 raw、归档原文件至对象存储。原文件保留，保留期按 meta.retention_policy 的 artifact 一档。原文件是唯一能回答「当时收到的到底是什么」的东西。</w:t>
      </w:r>
    </w:p>
    <w:p>
      <w:pPr>
        <w:pStyle w:val="Heading2"/>
      </w:pPr>
      <w:r>
        <w:t>5.2  Kafka 预留（IF-04）</w:t>
      </w:r>
    </w:p>
    <w:p>
      <w:pPr/>
      <w:r>
        <w:t>本期不启用，契约结构与消费者组配置预留。预留的具体含义是：连接器类型 kafka_consume 已在 CHECK 约束中、契约的 definition 形态已定义、消费位点的存放位置已在 watermark_state 中留位。启用时属于配置与联调工作，不涉及结构变更。</w:t>
      </w:r>
    </w:p>
    <w:p>
      <w:pPr>
        <w:pStyle w:val="Heading1"/>
      </w:pPr>
      <w:r>
        <w:t>6  归档迁移（IF-01）</w:t>
      </w:r>
    </w:p>
    <w:p>
      <w:pPr/>
      <w:r>
        <w:t>归档库为 Hexagon 原生的 SQL Server，读取的是 archive 副本库而非生产库（CN-36）。数据自 2016 年起，一次性全量迁入。本章是本册中最长的一章，因为这里的每一个判断都不可逆——归档迁完，源端可能就下线了。</w:t>
      </w:r>
    </w:p>
    <w:p>
      <w:pPr>
        <w:pStyle w:val="Heading2"/>
      </w:pPr>
      <w:r>
        <w:t>6.1  连接与驱动链</w:t>
      </w:r>
    </w:p>
    <w:p>
      <w:pPr/>
      <w:r>
        <w:t>微软官方的 ODBC Driver for SQL Server 是闭源专有软件，若采用，将与 RFP 2.7.3.1「全部软件采用开放许可」直接冲突，也与 LD-09「全部组件为 OSI 认可的开源许可」自相矛盾。因此驱动链一律采用开源实现（DD-52）。</w:t>
      </w:r>
    </w:p>
    <w:p/>
    <w:p>
      <w:pPr/>
      <w:r>
        <w:t>两条路线在实施前期各做一次连通性与阿语字段读取验证，以实测结果择一，不靠推断。全部四项在组件清单中标注为迁移期组件：对账完成、旧系统下线、IF-01 停用之后不需要维护八年，但合同期内可能重跑迁移或复核对账，故不删除。</w:t>
      </w:r>
    </w:p>
    <w:p>
      <w:pPr>
        <w:pStyle w:val="Heading2"/>
      </w:pPr>
      <w:r>
        <w:t>6.2  类型映射</w:t>
      </w:r>
    </w:p>
    <w:p/>
    <w:p>
      <w:pPr>
        <w:pStyle w:val="Heading2"/>
      </w:pPr>
      <w:r>
        <w:t>6.3  时区：一个源端可能不存在的信息</w:t>
      </w:r>
    </w:p>
    <w:p>
      <w:pPr/>
      <w:r>
        <w:t>REQ-MIG-08（对应 RFP 2.7.7.5）要求迁移保留原始时区。SQL Server 的 datetime 与 datetime2 不含任何时区信息，只有 datetimeoffset 含。源端实际类型待 IR-42 答复（T-30）。</w:t>
      </w:r>
    </w:p>
    <w:p>
      <w:pPr/>
      <w:r>
        <w:t>若源端为无时区类型，则原始时区信息在源端即不存在，任何投标人都迁不出源端没有的东西。本方的处置是：保真源端值，另以元数据声明「该值按 +03 沙特时间解释」，并明确标注此为约定而非源端事实。这一点在迁移方案中如实写明，并在 Q&amp;A 阶段主动向 MOI 提出，不等到验收（DD-60）。</w:t>
      </w:r>
    </w:p>
    <w:p>
      <w:pPr/>
      <w:r>
        <w:t>两个分支下 core 层都统一以 timestamptz 存储并显式记下所用的时区假设，使下游口径一致。这与 DD-33 处理三套 SRID 是同一个思路：差异在入口消化掉，不留给下游。</w:t>
      </w:r>
    </w:p>
    <w:p>
      <w:pPr>
        <w:pStyle w:val="Heading2"/>
      </w:pPr>
      <w:r>
        <w:t>6.4  字符集与 collation</w:t>
      </w:r>
    </w:p>
    <w:p>
      <w:pPr/>
      <w:r>
        <w:t>阿拉伯语字段的读取正确性是本章风险最高的一项，且历来是 FreeTDS 的坑区。若源端为 nvarchar，问题较小，UTF-16 到 UTF-8 的转换路径明确；若为带阿语 collation 的 varchar，则源端存的是单字节编码，正确解码依赖于 collation 判定，判定错了不会报错，只会得到一串看似正常的乱码。</w:t>
      </w:r>
    </w:p>
    <w:p>
      <w:pPr/>
      <w:r>
        <w:t>因此迁移前置一道验证：取一组已知内容的阿语记录，端到端比对源端显示值与落库后的值，逐字符核对，含变音符与不同书写形式。这道验证的结论写入迁移方案，不通过则不启动全量迁移。</w:t>
      </w:r>
    </w:p>
    <w:p>
      <w:pPr>
        <w:pStyle w:val="Heading2"/>
      </w:pPr>
      <w:r>
        <w:t>6.5  多版本 schema 的归一</w:t>
      </w:r>
    </w:p>
    <w:p>
      <w:pPr/>
      <w:r>
        <w:t>归档十年间经历数次系统升级，且按 AS-02 拿不到升级记录，版本边界只能反推。反推可能推错，因此关键不在算法精度，而在推错的代价落在哪一层——这正是 DD-58 的原则：raw 不做任何解释，版本判定与结构归一全部在 staging。</w:t>
      </w:r>
    </w:p>
    <w:p>
      <w:pPr/>
      <w:r>
        <w:t>raw 的物理表数取决于归档库的实际形态，该形态待 IR-43 答复（T-31）：</w:t>
      </w:r>
    </w:p>
    <w:p/>
    <w:p>
      <w:pPr/>
      <w:r>
        <w:t>版本边界的反推以 meta.value_profile 与 meta.field_availability 为输入：取值分布的突变点、列首次出现非空值的时点、列在结构中首次出现的时点，三者交叉给出候选边界。候选边界写入 meta.schema_version_registry，并标注其证据来源与置信程度——推断出来的边界与拿到升级记录确认的边界必须能分辨，否则下一个人无从判断该不该相信它。</w:t>
      </w:r>
    </w:p>
    <w:p>
      <w:pPr/>
      <w:r>
        <w:t>IR-43 的第二问是这三个输入之外最有价值的一项：源端是否留存任何 DDL 变更记录、发布说明或升级工单，哪怕不完整。AS-02 假设拿不到，但那是假设而非问过。哪怕只有片段，反推就从「纯统计推断」变为「统计推断加已知锚点」，可靠性不是一个量级。</w:t>
      </w:r>
    </w:p>
    <w:p>
      <w:pPr>
        <w:pStyle w:val="Heading2"/>
      </w:pPr>
      <w:r>
        <w:t>6.6  语义漂移：列名没变而含义变了</w:t>
      </w:r>
    </w:p>
    <w:p>
      <w:pPr/>
      <w:r>
        <w:t>字段增删是好办的——列不存在就是不存在，剖面能量化。真正难的是列名未变而含义已变：优先级字段从三档改为五档，旧的「2」与新的「2」不是一回事。value_profile 能看见取值分布在某时点突变，但看不出新旧档位如何对应，那是业务知识，不在数据里。</w:t>
      </w:r>
    </w:p>
    <w:p>
      <w:pPr/>
      <w:r>
        <w:t>默认不映射（DD-59）：保留原始值，加 code_era 标明所属编码体系，报表跨越边界时分段呈现、不做跨期合并。仅当业务方书面给出对照表时才按统一口径映射，并在指标定义中记录该映射的来源与生效区间。理由是三种处理里只有映射会静默改变历史数字，而它一旦写进代码就再也看不见了。</w:t>
      </w:r>
    </w:p>
    <w:p>
      <w:pPr>
        <w:pStyle w:val="Heading2"/>
      </w:pPr>
      <w:r>
        <w:t>6.7  归一化的范围</w:t>
      </w:r>
    </w:p>
    <w:p>
      <w:pPr/>
      <w:r>
        <w:t>归一化只覆盖当前指标口径反查出的字段闭包，不覆盖全表。归档十年间系统功能持续增加，早期尤甚，而客户判断早期新增的多数字段业务上并不重要、真正需要动用的概率很小。为它们建归一模型是把成本花在概率很小的用途上，且模型还要维护八年。</w:t>
      </w:r>
    </w:p>
    <w:p>
      <w:pPr/>
      <w:r>
        <w:t>闭包外的字段原样保留在 raw、不解释不映射，在 meta.mapping_registry 中状态记为 unknown 而非留空，note 注明「早期功能字段，当前无指标依赖」。</w:t>
      </w:r>
    </w:p>
    <w:p>
      <w:pPr/>
      <w:r>
        <w:t>但 meta.field_availability 的剖面覆盖全部列，而不只是闭包内的列。这一条是刻意加的：「等真要用了再去研究」将来能不能做成，取决于那时候还剩下什么。剖面是一次性且低成本的，有了它，三年后有人问「2017 年到底有没有某字段、填了多少」能当场回答，而不必重新扫十年数据、重新申请归档库权限、重新找当年的人。我们现在欠未来的不是归一化，是可追溯性——归一化可以省，可追溯性省不得。</w:t>
      </w:r>
    </w:p>
    <w:p>
      <w:pPr>
        <w:pStyle w:val="Heading2"/>
      </w:pPr>
      <w:r>
        <w:t>6.8  可用性剖面与指标起始可用年份</w:t>
      </w:r>
    </w:p>
    <w:p>
      <w:pPr/>
      <w:r>
        <w:t>迁移期做一次全量字段可用性剖面，按（字段, 年份）统计行数与非空数，并区分「列在该年结构中不存在」与「列存在但为空」。前者是 schema 版本边界的硬证据，后者是业务采集习惯问题，后者可能可补救、前者不可。混作一谈就把最强的线索丢了。</w:t>
      </w:r>
    </w:p>
    <w:p/>
    <w:p>
      <w:pPr/>
      <w:r>
        <w:t>阈值入表不入代码（meta.availability_threshold）：「多少填充率算可用」是业务口径，客户可能认为 80% 已足以支撑趋势分析。指标继承其全部输入字段中最差的状态并记下造成该状态的字段名，结果写入 meta.metric_availability，由服务层在每次查询时读取。</w:t>
      </w:r>
    </w:p>
    <w:p>
      <w:pPr/>
      <w:r>
        <w:t>这张表必须机器可读，不能只作为 Word 交付物。若只写在对账报告里，客户看到的还是空白报表——没人会去翻附件第 12 页（DD-57）。同一份数据另出静态对照表，随迁移对账报告交付，并附一份「未归一字段清单」，写明哪些字段留在 raw 未解释、各年填充率多少。后者既是诚实交付，也是将来那次「研究」的入口。</w:t>
      </w:r>
    </w:p>
    <w:p>
      <w:pPr>
        <w:pStyle w:val="Heading2"/>
      </w:pPr>
      <w:r>
        <w:t>6.9  分批与断点</w:t>
      </w:r>
    </w:p>
    <w:p>
      <w:pPr/>
      <w:r>
        <w:t>十年数据按年分批、按实体分组，每批独立提交、独立对账、独立记录 run_log。任一批失败只重跑该批。禁止一次性事务包住全部迁移：一是长事务会拖垮源端与目标端，二是失败后无从判断做到了哪里。</w:t>
      </w:r>
    </w:p>
    <w:p>
      <w:pPr/>
      <w:r>
        <w:t>每批完成后立即对账，不等全部迁完。晚发现一批的错，后面所有批可能都带着同样的错。</w:t>
      </w:r>
    </w:p>
    <w:p>
      <w:pPr>
        <w:pStyle w:val="Heading1"/>
      </w:pPr>
      <w:r>
        <w:t>7  校验、隔离与放行</w:t>
      </w:r>
    </w:p>
    <w:p>
      <w:pPr>
        <w:pStyle w:val="Heading2"/>
      </w:pPr>
      <w:r>
        <w:t>7.1  批次级校验，整批拒绝</w:t>
      </w:r>
    </w:p>
    <w:p>
      <w:pPr/>
      <w:r>
        <w:t>校验在批次级进行，不在行级。一批数据只要有一条不满足契约声明的期望，整批进隔离区，不做「好的放行、坏的隔离」的部分处理。</w:t>
      </w:r>
    </w:p>
    <w:p>
      <w:pPr/>
      <w:r>
        <w:t>理由是部分放行会产生一种最难排查的状态：库里有这批数据，但不完整，而指标照常算出了一个数。这个数不会报错，只会偏。整批拒绝虽然粗，但它的失败是可见的。</w:t>
      </w:r>
    </w:p>
    <w:p/>
    <w:p>
      <w:pPr>
        <w:pStyle w:val="Heading2"/>
      </w:pPr>
      <w:r>
        <w:t>7.2  隔离区与待澄清队列</w:t>
      </w:r>
    </w:p>
    <w:p>
      <w:pPr/>
      <w:r>
        <w:t>隔离的批次原样保留在隔离区，附失败原因、批次标识与运行标识。M-03 界面可查看、放行或丢弃，两者都留审计。放行前必须先解决原因或显式记录「已知并接受」，不允许无理由放行——无理由放行的批次三个月后没有人能说清当时为什么放。</w:t>
      </w:r>
    </w:p>
    <w:p>
      <w:pPr/>
      <w:r>
        <w:t>待澄清队列按影响行数与受影响指标排序，因为队列长了就没人看了，排序决定了有限的注意力花在哪里。</w:t>
      </w:r>
    </w:p>
    <w:p>
      <w:pPr>
        <w:pStyle w:val="Heading1"/>
      </w:pPr>
      <w:r>
        <w:t>8  对账</w:t>
      </w:r>
    </w:p>
    <w:p>
      <w:pPr>
        <w:pStyle w:val="Heading2"/>
      </w:pPr>
      <w:r>
        <w:t>8.1  归档逐批对账</w:t>
      </w:r>
    </w:p>
    <w:p>
      <w:pPr/>
      <w:r>
        <w:t>每批迁移完成后立即对账，三项：行数、关键度量的合计、按月分布。三项都通过才算该批完成。</w:t>
      </w:r>
    </w:p>
    <w:p>
      <w:pPr/>
      <w:r>
        <w:t>行数比对最基础，但单靠它不够——它查不出内容错位。度量合计能查出数值列的整体偏移。按月分布能查出时间字段的解析错误，这类错误在行数与合计上都看不出来，但一画分布图就很明显：某几个月凭空多出数据、另几个月归零。</w:t>
      </w:r>
    </w:p>
    <w:p>
      <w:pPr>
        <w:pStyle w:val="Heading2"/>
      </w:pPr>
      <w:r>
        <w:t>8.2  持续源日对账</w:t>
      </w:r>
    </w:p>
    <w:p>
      <w:pPr/>
      <w:r>
        <w:t>DS CAD 展示库与 ICP 每日对账一次，在日切封账之后。对账口径与归档相同，差异写入对账结果表，超阈值告警。</w:t>
      </w:r>
    </w:p>
    <w:p>
      <w:pPr/>
      <w:r>
        <w:t>对账的对象是源端，不是上一次的自己。与上次结果比对只能发现变化，发现不了系统性偏差——若某个映射从第一天起就错了，与自己比永远是一致的。</w:t>
      </w:r>
    </w:p>
    <w:p>
      <w:pPr>
        <w:pStyle w:val="Heading2"/>
      </w:pPr>
      <w:r>
        <w:t>8.3  差异的处置</w:t>
      </w:r>
    </w:p>
    <w:p/>
    <w:p>
      <w:pPr>
        <w:pStyle w:val="Heading1"/>
      </w:pPr>
      <w:r>
        <w:t>9  参照数据维护</w:t>
      </w:r>
    </w:p>
    <w:p>
      <w:pPr/>
      <w:r>
        <w:t>本系统没有人工录入的业务数据源。原先设想的三类旁路数据在逐项核实后全部清空：排班计划改为派生时间带（DD-53）、勤务级别保留 CAD 接口为非必选项且不做人工维护（DD-54）、复核与质检属 IRMS 不在本系统范围（DD-55）。M-10 剩下的只是参照数据维护——是配置，不是数据源。</w:t>
      </w:r>
    </w:p>
    <w:p>
      <w:pPr>
        <w:pStyle w:val="Heading2"/>
      </w:pPr>
      <w:r>
        <w:t>9.1  M-10 维护的内容</w:t>
      </w:r>
    </w:p>
    <w:p/>
    <w:p>
      <w:pPr>
        <w:pStyle w:val="Heading2"/>
      </w:pPr>
      <w:r>
        <w:t>9.2  双语译名随源端改名失效</w:t>
      </w:r>
    </w:p>
    <w:p>
      <w:pPr/>
      <w:r>
        <w:t>人工译名描述的是他方系统里的对象。源端一旦改名，旧译名可能只是措辞变化，也可能意味着单位合并、拆分或改隶属，而报表上不会有任何迹象。</w:t>
      </w:r>
    </w:p>
    <w:p>
      <w:pPr/>
      <w:r>
        <w:t>因此译名挂在自然键上（译的是实体，不是 SCD2 的某个版本），并记下确认当时源端的原文。源端现值与之不符即置 pending_reconfirm，展现层回落显示源端原文而非可能已失效的旧译名，M-10 列出待办（DD-56）。</w:t>
      </w:r>
    </w:p>
    <w:p>
      <w:pPr/>
      <w:r>
        <w:t>不做任何名称规范化或格式差异过滤。客户答复改名频率为数年一次，为降低一个数年一遇的误报而引入规则表，成本超过收益，且规则本身在交接时还要解释和维护。存原文而非哈希，是因为待办界面要能并排显示「确认时源端是这个、现在是这个」，让确认者自己判断这是改措辞还是实体变了。</w:t>
      </w:r>
    </w:p>
    <w:p>
      <w:pPr>
        <w:pStyle w:val="Heading2"/>
      </w:pPr>
      <w:r>
        <w:t>9.3  逐字段留痕</w:t>
      </w:r>
    </w:p>
    <w:p>
      <w:pPr/>
      <w:r>
        <w:t>M-10 的全部维护动作逐字段写入 audit.reference_data_change_log：目标表、业务键、字段名、旧值、新值、操作人、时间、原因。参照数据不经 raw 层，没有 run_log 血缘，此表是唯一的追溯来源。改错一行班次窗口就能改变一批报表数字，而这个动作本身不留痕的话，事后无从查起。</w:t>
      </w:r>
    </w:p>
    <w:p>
      <w:pPr>
        <w:pStyle w:val="Heading1"/>
      </w:pPr>
      <w:r>
        <w:t>10  运行与观测</w:t>
      </w:r>
    </w:p>
    <w:p>
      <w:pPr>
        <w:pStyle w:val="Heading2"/>
      </w:pPr>
      <w:r>
        <w:t>10.1  运行日志</w:t>
      </w:r>
    </w:p>
    <w:p>
      <w:pPr/>
      <w:r>
        <w:t>每一次连接器运行写一条 meta.run_log：运行标识、源标识、窗口起止、行数、结果、耗时、错误摘要。这张表同时是 M-01 界面的数据来源与服务水平举证的一部分。</w:t>
      </w:r>
    </w:p>
    <w:p>
      <w:pPr/>
      <w:r>
        <w:t>运行日志只增不改。重跑产生新的 run_id 而不是覆盖旧记录——覆盖之后就无法回答「这批数据重跑过几次、为什么」。</w:t>
      </w:r>
    </w:p>
    <w:p>
      <w:pPr>
        <w:pStyle w:val="Heading2"/>
      </w:pPr>
      <w:r>
        <w:t>10.2  告警口径</w:t>
      </w:r>
    </w:p>
    <w:p/>
    <w:p>
      <w:pPr/>
      <w:r>
        <w:t>告警经统一投递服务发出，短信与邮件两个通道，网关由总包商运维。告警内容不含数据本体，只含定位信息——告警会走出内网，走的是 DMZ。</w:t>
      </w:r>
    </w:p>
    <w:p>
      <w:pPr>
        <w:pStyle w:val="Heading2"/>
      </w:pPr>
      <w:r>
        <w:t>10.3  补数与重跑</w:t>
      </w:r>
    </w:p>
    <w:p>
      <w:pPr/>
      <w:r>
        <w:t>补数与常规运行共用同一段代码，按时间范围触发。全部装载路径幂等，因此补数不需要先删除再插入，这一点尤其重要：先删后插在失败时会留下一个数据缺失的窗口，而这个窗口的存在不会有任何提示。</w:t>
      </w:r>
    </w:p>
    <w:p>
      <w:pPr>
        <w:pStyle w:val="Heading1"/>
      </w:pPr>
      <w:r>
        <w:t>11  本册未决事项</w:t>
      </w:r>
    </w:p>
    <w:p/>
    <w:p>
      <w:pPr/>
      <w:r>
        <w:t>前两项不阻塞设计，只改变实现参数。后两项影响的是承诺表述与迁移方法，须在设计冻结前取得——尤其 IR-42 的时间字段类型，它决定的是一句写进投标文件的话。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与 staging 的表结构、core 的目标结构。本册只写装载行为，不重复表定义。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指标的字段闭包由 LD-03 反查得出，决定本册第 6 章归一化的范围。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meta.metric_availability 由服务层在查询时读取，本册只负责把它算出来。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SQL Server 驱动链的许可分析。本册只写选型结论与运行配置。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DD-37 · DD-52 · DD-56 至 DD-60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语义与约束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source_id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源的稳定标识，跨环境不变。运行日志、水位、映射登记、对账结果全部以它为外键，改名等于换了一个源。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connector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五类之一：pg_read · mssql_read · rest_api · kafka_consume · file_drop。CHECK 约束在库内强制，新增连接器类型属于设计变更而非配置调整。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target_raw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目标 raw 表的全名。一份契约只写一张 raw 表——一对多会让血缘断在这里。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contract_version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契约版本号。源端结构变化必须升版本，而不是原地改定义；旧版本装载的数据行上带着旧版本号，才有可能事后分辨。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definition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jsonb。连接参数、幂等键列清单、增量列、分页与限流参数等按连接器类型各有其形。凭据不入此字段（见 2.4）。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enabled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启停。停用的契约保留而不删除，否则历史 run_log 的外键失去指向。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正常推进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本次窗口取数成功、校验通过、写入 raw 完成，水位推进至本次上界。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任一环节失败，水位保持不变，下次运行自动覆盖同一窗口。因幂等键存在，重复装载不产生重复行。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人工回拨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发现某时段数据有误需重取时，由 M-01 界面回拨水位。回拨是一次带审计的动作，记录操作人、回拨前后的水位与原因。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按游标分页而非按页码。页码分页在数据持续写入时会漏记录：第 2 页取数时若第 1 页新增了一条，原第 20 条被挤到第 21 位而从未被读到。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契约中声明每分钟最大请求数，运行时自行限速，不依赖对方拒绝。被对方限流视同失败，进入退避。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失败退避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指数退避，初值 2 秒、上限 5 分钟。连续失败超过阈值转告警，但不停止轮询——话务数据的中断时间直接进入服务水平举证。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时钟偏差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记录本方接收时刻与 ICP 返回时间戳的差值，写入 run_log。偏差本身不影响装载，但它是排查「数字对不上」时的第一个要看的东西。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重复投递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同一条通话记录可能被返回多次。由幂等键吸收，不做去重逻辑——去重逻辑需要状态，状态就是新的故障点。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许可与角色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FreeTDS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2.0。TDS 协议实现，动态链接不产生传染。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unixODBC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 / GPL 2.0。ODBC 驱动管理器，仅 pyodbc 路线需要。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MIT。Python 客户端，与 unixODBC 配套。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pymssql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2.1。直连 FreeTDS 的备选路线，省去 ODBC 一层。与 pyodbc 二选一。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SQL Server 源端类型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PostgreSQL 目标类型与说明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datetimeoffset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timestamptz。含时区偏移，直接映射，信息无损。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 · datetime2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层落 timestamp without time zone，保真源端值；core 层统一转 timestamptz 并显式记录所用时区假设。见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nvarchar · nchar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text。UTF-16 转 UTF-8 在驱动层完成，须实测验证阿语字符的往返一致性。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varchar · char（带阿语 collation）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text。源端为单字节编码加 collation，转换正确性完全取决于 collation 判定是否正确，见 6.4。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uniqueidentifier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uuid。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decimal · numeric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numeric，保持精度与标度。不得转 double——货币与时长的累加会漂。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boolean。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image · text · ntext（已废弃类型）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bytea 或 text。若归档中仍在使用，须逐列确认其实际内容，这类列常被当作自由格式的备注字段使用。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geometry · geography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DD-33 的三套 SRID 处理，落 PostGIS 几何类型并显式记录 SRID。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归档形态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raw 层落法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多代表集并存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每代各落一张 raw.archive_&lt;entity&gt;_v&lt;n&gt;，逐版本登记 source_contract、逐版本对账。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单库原地升级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就一张 raw 表——源端物理上只有一套结构，「原样落地」本就是一张表。版本号是 staging 推断出的标签，不是 raw 的分表依据；此时按年代拆分 raw 反而违背本原则，因为拆分本身就是一次装载期判断。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判定与报表行为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available（非空率 ≥ 95%）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可直接出数，报表不加提示。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partial（≥ 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出数，但报表强制显示填充率与样本量，禁止用于同比。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unavailable（&lt; 5% 或列不存在）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报表显示「该时段源端无此数据」并指名限制字段，既不显示空白也不显示零。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校验类别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契约声明的列是否都在、类型是否可转。新增列不算失败，记为 unknown 进 mapping_registry。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幂等键各列是否非空、批内是否唯一。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值域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契约声明的枚举、范围、非空约束。值域外的取值同时写入 value_profile，因为它可能是源端新增了编码而非数据错误。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本批行数与历史同期的偏离度。零行与暴增同样可疑：零行可能是源端故障，也可能是水位取错。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引用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外键指向的维度成员是否存在。缺失不一定是错误——维度可能晚到，故此项失败进待澄清队列而非直接隔离。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差异类型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先查水位与批次边界，再查隔离区。多数行数差是某批仍在隔离而未被注意到。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定位到列，再定位到行。若源端在对账窗口内仍有更新，属正常现象，须以源端快照时点为准重新比对。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分布差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优先怀疑时间字段的类型映射与时区处理，见 6.2 与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持续存在的小差异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不得以「在容差内」结案。写入待澄清队列并定期复看——稳定的小差异通常意味着一条稳定的错误规则。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若干行，SCD2。班次是派生时间带：事件按自身时间戳归入所属窗口，坐席在岗时长由 fact_agent_state 的上岗区间与窗口求交得出。改窗口定义不改写历史。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多数维度只给单语名称，另一语种由人工维护（REQ-RPT-09）。见 9.2。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dim_date.is_hajj_season，人工维护，用于分组对比而非直接比较。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源端不提供、而报表需要的补充属性。编码本身以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触发条件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源中断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某源连续 N 个周期未成功。N 按源的周期设定，话务源比日批源严格得多。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水位停滞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水位在预期时间内未推进。它与源中断不同：源可能连得上但一直返回空。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隔离积压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隔离区批次数或待澄清队列长度超阈值。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对账超差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任一对账项超出阈值。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unknown 列长期不为零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不为零本身不是故障，长期不为零且无人处置才是。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IR-01 / IR-02（T-28）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展示库数据字典与增量列形态。决定第 3 章取增量的方式，若无行更新时刻则须以业务时间加回溯窗口取数，装载量增加。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IR-08 至 IR-11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ICP 接口的分页、限流与指标形态。决定第 4 章的轮询参数。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IR-42（T-30）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 SQL Server 版本、时间字段类型、阿语字段编码与 collation。决定 6.2 的类型映射与 6.3 的时区应答方式。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IR-43（T-31）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归档库物理形态与是否留存升级记录。决定 6.5 的 raw 层落法与版本边界反推的可靠性。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