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与源逐字一致，附完整原始载荷（JSONB）与接入元数据：run_id、contract_version、源水位、原始时区偏移、落地时间。只追加，永不覆盖、永不修正（DD-02）。一源一表，表名 raw.&lt;源标识&gt;__&lt;源表名&gt;。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(agent_sk, date_key)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一、凡按时间范围访问分区表的查询，必须同时带 date_key 条件。分区按 date_key 切分，只按 created_at 一类时间列过滤，规划器裁不掉任何分区，一百余个月分区都要过一遍。服务层与 dbt 须把时间范围同时翻译为 date_key 范围（用于裁剪分区）与时间列范围（用于分区内走索引）；翻译须使用第 6 章的同一套归日时区规则——零点附近两者一旦不一致，结果是静默漏行，不报错（LD-04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clarification_queue、meta.reference_value 的新码入表、meta.field_availability 与 meta.metric_availability、audit.sla_probe 与 audit.sla_daily（探测执行者待 IR-21）。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