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34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52 项（其中 IR-32 已关闭、IR-13 部分已答复）。紧急度为“高”的项目，其答复会改变设计选择、交付范围或承诺内容，应在设计冻结前取得。IR-47 至 IR-52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补充四项，来自开发机对 SQL Server→PG 转换的分析】八、原库排序规则，同步是否原样保留大小写与尾随空格；九、文本列是否可能含 NUL 及处理方式；十、同时交付原库 SQL Server DDL 供逐表核对；十一、空串与 NULL 原样保持。第八项答复后，staging 对 CAD 代码值是否做大小写或空格规范化须登记 DD；在此之前不做任何规范化。</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