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0"/>
      </w:pP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color w:val="1D4ED8"/>
          <w:sz w:val="36"/>
        </w:rPr>
        <w:t>OSS911 麦加 911 运营中心</w:t>
      </w:r>
    </w:p>
    <w:p>
      <w:pPr>
        <w:spacing w:before="0" w:after="360"/>
        <w:jc w:val="center"/>
      </w:pPr>
      <w:r>
        <w:rPr>
          <w:rFonts w:ascii="微软雅黑" w:hAnsi="微软雅黑" w:eastAsia="微软雅黑"/>
          <w:b/>
          <w:color w:val="1D4ED8"/>
          <w:sz w:val="36"/>
        </w:rPr>
        <w:t>商业智能与数据仓库子系统</w:t>
      </w:r>
    </w:p>
    <w:p>
      <w:pPr>
        <w:spacing w:before="0" w:after="160"/>
        <w:jc w:val="center"/>
      </w:pPr>
      <w:r>
        <w:rPr>
          <w:rFonts w:ascii="微软雅黑" w:hAnsi="微软雅黑" w:eastAsia="微软雅黑"/>
          <w:b/>
          <w:color w:val="111827"/>
          <w:sz w:val="48"/>
        </w:rPr>
        <w:t>高可用与部署详细设计</w:t>
      </w:r>
    </w:p>
    <w:p>
      <w:pPr>
        <w:spacing w:before="0" w:after="1000"/>
        <w:jc w:val="center"/>
      </w:pPr>
      <w:r>
        <w:rPr>
          <w:rFonts w:ascii="微软雅黑" w:hAnsi="微软雅黑" w:eastAsia="微软雅黑"/>
          <w:b w:val="0"/>
          <w:color w:val="4B5563"/>
          <w:sz w:val="23"/>
        </w:rPr>
        <w:t>Detailed Design — High Availability and Deployment   ( LD-08 )</w:t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color w:val="111827"/>
          <w:sz w:val="24"/>
        </w:rPr>
        <w:t>版本  v0.1</w:t>
      </w:r>
    </w:p>
    <w:p>
      <w:pPr>
        <w:spacing w:before="0" w:after="2200"/>
        <w:jc w:val="center"/>
      </w:pPr>
      <w:r>
        <w:rPr>
          <w:rFonts w:ascii="微软雅黑" w:hAnsi="微软雅黑" w:eastAsia="微软雅黑"/>
          <w:b w:val="0"/>
          <w:color w:val="4B5563"/>
          <w:sz w:val="22"/>
        </w:rPr>
        <w:t>2026 年 9 月</w:t>
      </w:r>
    </w:p>
    <w:p>
      <w:pPr>
        <w:spacing w:before="0" w:after="60"/>
        <w:jc w:val="center"/>
      </w:pPr>
      <w:r>
        <w:rPr>
          <w:rFonts w:ascii="微软雅黑" w:hAnsi="微软雅黑" w:eastAsia="微软雅黑"/>
          <w:b w:val="0"/>
          <w:color w:val="4B5563"/>
          <w:sz w:val="20"/>
        </w:rPr>
        <w:t>本册定义集群参数与故障行为、降级决策树、备份与恢复、三套环境、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4B5563"/>
          <w:sz w:val="20"/>
        </w:rPr>
        <w:t>发布与回滚、离线补丁，以及对基础设施提供方的二十一条放置与隔离要求。</w:t>
      </w:r>
    </w:p>
    <w:p>
      <w:r>
        <w:br w:type="page"/>
      </w:r>
    </w:p>
    <w:p>
      <w:pPr>
        <w:pStyle w:val="Heading1"/>
      </w:pPr>
      <w:r>
        <w:t>1  本册的范围与读法</w:t>
      </w:r>
    </w:p>
    <w:p>
      <w:pPr/>
      <w:r>
        <w:t>本册细化 HLD v0.3 第 11 与 12 章，回答的是「这套系统怎么活着、出了故障怎么办、怎么装上去、怎么改」。表结构在 LD-02，组件选型与许可在 LD-09，演练与测试用例在 LD-10。</w:t>
      </w:r>
    </w:p>
    <w:p>
      <w:pPr/>
      <w:r>
        <w:t>本册有一个不同于其它各册的用法：第 9 章的二十一条放置与隔离要求不是写给开发组的，是写给基础设施提供方的。它们的答复周期最长，且任何一条不能满足，须重新评估相应的服务水平承诺，而不是调整设计。因此本册应当尽早成文并发出，不等其余各册齐备。</w:t>
      </w:r>
    </w:p>
    <w:p/>
    <w:p>
      <w:pPr>
        <w:pStyle w:val="Heading1"/>
      </w:pPr>
      <w:r>
        <w:t>2  按日考核推出了整个设计</w:t>
      </w:r>
    </w:p>
    <w:p>
      <w:pPr/>
      <w:r>
        <w:t>RFP 1.5.2.9 规定数据库为服务等级 1（99.999%），BI、报表与仪表板为服务等级 2（99.99%），且按日考核。这一句是本册全部保守选择的来源。</w:t>
      </w:r>
    </w:p>
    <w:p/>
    <w:p>
      <w:pPr/>
      <w:r>
        <w:t>按月考核可以用一次长故障加二十九天正常来抵消；按日考核不能——一次三分钟的故障就让那一天不达标，而那一天无法被其它天弥补。因此本设计中若干看似保守的选择——同步复制、自动切换、禁止超分、禁止自动迁移——不是保守，是被考核方式直接推导出来的。</w:t>
      </w:r>
    </w:p>
    <w:p>
      <w:pPr/>
      <w:r>
        <w:t>这一点在与基础设施提供方沟通时须先讲清楚。否则第 9 章的二十一条要求会被理解为过度设计，而实际上它们每一条都能回溯到这两个数字。</w:t>
      </w:r>
    </w:p>
    <w:p>
      <w:pPr>
        <w:pStyle w:val="Heading1"/>
      </w:pPr>
      <w:r>
        <w:t>3  集群结构与角色</w:t>
      </w:r>
    </w:p>
    <w:p/>
    <w:p>
      <w:pPr>
        <w:pStyle w:val="Heading2"/>
      </w:pPr>
      <w:r>
        <w:t>3.1  Patroni 是角色变更的唯一权威</w:t>
      </w:r>
    </w:p>
    <w:p>
      <w:pPr/>
      <w:r>
        <w:t>这一条必须在虚拟化平台层面得到配合：平台的高可用重启机制不得自行判断并重启数据库虚机。两套独立的故障切换机制作用于同一集群会切出双主，属于数据损坏级别的事故——两个主库各自接受写入，事后无法合并，也无法判断哪一侧是对的。</w:t>
      </w:r>
    </w:p>
    <w:p>
      <w:pPr/>
      <w:r>
        <w:t>这不是配置能规避的风险，而是机制冲突。因此它在第 9 章中列为 OP-03，关键级别，须由基础设施提供方书面确认。</w:t>
      </w:r>
    </w:p>
    <w:p>
      <w:pPr>
        <w:pStyle w:val="Heading2"/>
      </w:pPr>
      <w:r>
        <w:t>3.2  关键集群参数</w:t>
      </w:r>
    </w:p>
    <w:p/>
    <w:p>
      <w:pPr/>
      <w:r>
        <w:t>最后一条值得展开。分析副本上长事务的后果不是「那个查询慢」，而是主库的清理被阻塞、WAL 累积、磁盘增长——一个用户的疏忽通过复制链路影响到写入侧。硬超时是唯一可靠的防线，靠规范和培训不行。</w:t>
      </w:r>
    </w:p>
    <w:p>
      <w:pPr>
        <w:pStyle w:val="Heading2"/>
      </w:pPr>
      <w:r>
        <w:t>3.3  ETL 节点：Airflow 双活</w:t>
      </w:r>
    </w:p>
    <w:p>
      <w:pPr>
        <w:pStyle w:val="Heading2"/>
      </w:pPr>
      <w:r>
        <w:t>【2026-10-24 补充，DD-85 的一条遗漏前提】「scheduler 无状态」成立的条件之一是 Airflow 的两把密钥是共享配置而不是节点本地状态：[api_auth] jwt_secret（scheduler 签发任务令牌、API server 校验）与 [core] fernet_key（加密元数据库中的连接口令）。二者默认在首次启动时各节点随机生成，双活下任务在另一台汇报即被拒、口令在另一台解不开，且是间歇性的，单机开发环境永远复现不了。处置：由剧本生成一次、存 /etc/oss911/airflow.env（0600）、各节点同一份、已有密钥优先纳管；轮换进 runbook/91（fernet_key 轮换须按 Airflow 的多密钥重加密流程）。另：新 DAG 保持创建即暂停，首次上线由人工开启，列为验收步骤（初始化水位 → 开启 → 确认首个任务成功）；此后的重复部署不得改变 DAG 的暂停状态——源的启停只认 meta.source_contract.enabled，DAG 暂停不是第二个开关。</w:t>
      </w:r>
    </w:p>
    <w:p>
      <w:pPr>
        <w:spacing w:before="0" w:after="1000"/>
        <w:jc w:val="center"/>
      </w:pPr>
      <w:r>
        <w:rPr>
          <w:rFonts w:ascii="微软雅黑" w:hAnsi="微软雅黑" w:eastAsia="微软雅黑"/>
          <w:b w:val="0"/>
          <w:color w:val="4B5563"/>
          <w:sz w:val="23"/>
        </w:rPr>
        <w:t>Airflow、dbt 与接入程序运行在 ETL-1、ETL-2 两台虚机上（DD-85）。两台都运行 Airflow 的全部组件——api-server、scheduler、dag-processor、triggerer——执行器为 LocalExecutor，元数据库置于 PostgreSQL 高可用集群中的独立数据库（DD-44）。两台同时工作，不分主备。</w:t>
      </w:r>
    </w:p>
    <w:p>
      <w:pPr>
        <w:spacing w:before="0" w:after="1000"/>
        <w:jc w:val="center"/>
      </w:pPr>
      <w:r>
        <w:rPr>
          <w:rFonts w:ascii="微软雅黑" w:hAnsi="微软雅黑" w:eastAsia="微软雅黑"/>
          <w:b w:val="0"/>
          <w:color w:val="4B5563"/>
          <w:sz w:val="23"/>
        </w:rPr>
        <w:t>双活靠的是 scheduler 本身不保存状态：任务的依赖关系、每个任务实例的状态、pool 的占用全部在元数据库里。两个 scheduler 各自循环，每一轮查询「依赖已满足、可以运行」的任务，以数据库行锁锁住选中的任务实例后再启动，另一个 scheduler 遇到锁即跳过——同一任务不会被两边同时执行，谁锁到就在谁的机器上运行。接入程序与 dbt 作为子进程，在锁到任务的那台机器上运行。任务之间的依赖照常生效：上游未完成，下游不会进入可运行的名单，无论由哪个 scheduler 判断，结论相同。</w:t>
      </w:r>
    </w:p>
    <w:p>
      <w:pPr>
        <w:spacing w:before="0" w:after="1000"/>
        <w:jc w:val="center"/>
      </w:pPr>
      <w:r>
        <w:rPr>
          <w:rFonts w:ascii="微软雅黑" w:hAnsi="微软雅黑" w:eastAsia="微软雅黑"/>
          <w:b w:val="0"/>
          <w:color w:val="4B5563"/>
          <w:sz w:val="23"/>
        </w:rPr>
        <w:t>一台机器失效时，它正在运行的任务失去心跳，超时后被标为失败，按重试次数由另一台重跑。这对任务提出三条要求，缺一条双活就不成立：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要求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说明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一、能重跑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失败不推进水位，写 raw 按内容去重（LD-01 · DD-82），重跑最多白跑一次，不产生重复数据。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二、不依赖在哪台机器上运行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任务之间只经数据库或对象存储交接，不经本地文件。取数任务若把文件存在 ETL-1 的本地磁盘，下一个任务被 ETL-2 锁到时就读不到。这类错误是间歇性的——取决于两个任务碰巧是否落在同一台上——且在单机的开发环境中永远不会出现。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三、有并发限制的用 pool 约束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pool 是元数据库中的一行，整个集群共用，不是每台机器各一个。scheduler 启动任务前在同一事务中锁住 pool 行、核对占用，有空位才启动；另一个 scheduler 须等锁释放，再看时已无空位。ICP 话单下载一个 pool（icp_cms），dbt 构建一个 pool（dbt_build），各 1 个槽位：前者因 ICP 接口不支持并发下载，后者因两台同时运行 dbt 会使线程总数超过 pgBouncer 会话池而卡住不报错（DD-67）。</w:t>
            </w:r>
          </w:p>
        </w:tc>
      </w:tr>
    </w:tbl>
    <w:p>
      <w:pPr>
        <w:spacing w:before="0" w:after="1000"/>
        <w:jc w:val="center"/>
      </w:pPr>
      <w:r>
        <w:rPr>
          <w:rFonts w:ascii="微软雅黑" w:hAnsi="微软雅黑" w:eastAsia="微软雅黑"/>
          <w:b w:val="0"/>
          <w:color w:val="4B5563"/>
          <w:sz w:val="23"/>
        </w:rPr>
        <w:t>pool 只约束经 Airflow 启动的任务。接入程序可以手工执行以补数（LD-01 2.5），手工的那一次绕过 pool。因此接入程序自身在运行期间按源持有一把 PostgreSQL 咨询锁，拿不到即以退出码 1 退出——无论由 Airflow 还是由人启动，同一源同一时刻只有一个实例在取数。该锁须经 pgBouncer 的会话池，事务池会使咨询锁随机失效（DD-67）。</w:t>
      </w:r>
    </w:p>
    <w:p>
      <w:pPr>
        <w:spacing w:before="0" w:after="1000"/>
        <w:jc w:val="center"/>
      </w:pPr>
      <w:r>
        <w:rPr>
          <w:rFonts w:ascii="微软雅黑" w:hAnsi="微软雅黑" w:eastAsia="微软雅黑"/>
          <w:b w:val="0"/>
          <w:color w:val="4B5563"/>
          <w:sz w:val="23"/>
        </w:rPr>
        <w:t>两台的 venv、DAG 文件与凭据文件必须一致，由同一套剧本部署；开发环境为单台，上述第二条与 pool 的约束只有在双活下才会被真正检验，测试环境须安排一次双节点验证。</w:t>
      </w:r>
    </w:p>
    <w:p>
      <w:pPr>
        <w:pStyle w:val="Heading1"/>
      </w:pPr>
      <w:r>
        <w:t>4  RPO、RTO 与降级决策树</w:t>
      </w:r>
    </w:p>
    <w:p/>
    <w:p>
      <w:pPr>
        <w:pStyle w:val="Heading2"/>
      </w:pPr>
      <w:r>
        <w:t>4.1  同步复制的两项前提</w:t>
      </w:r>
    </w:p>
    <w:p>
      <w:pPr/>
      <w:r>
        <w:t>同步复制使每一次提交都等待网络往返与备库落盘。这一选择成立的前提是两项基础设施条件：主备之间往返时延不超过 1 毫秒（NW-02），数据库数据卷的 99 分位写入时延不超过 2 毫秒（ST-03）。</w:t>
      </w:r>
    </w:p>
    <w:p>
      <w:pPr/>
      <w:r>
        <w:t>若这两项在实际环境中无法满足，按下表决策，而不是在故障时临时判断。事先定好决策树的意义在于：故障当下没有时间开会，而临时决定往往是把参数一调了事，事后没有人记得改过。</w:t>
      </w:r>
    </w:p>
    <w:p/>
    <w:p>
      <w:pPr/>
      <w:r>
        <w:t>第三行的措辞是刻意的。把同步改为异步是一次服务水平承诺的变更，不是一次参数调整——RPO 从 0 变成非 0，意味着故障时可能丢数据，而这是写进合同的东西。因此它必须上报，并且留下记录。</w:t>
      </w:r>
    </w:p>
    <w:p>
      <w:pPr>
        <w:pStyle w:val="Heading2"/>
      </w:pPr>
      <w:r>
        <w:t>4.2  故障场景与预期行为</w:t>
      </w:r>
    </w:p>
    <w:p/>
    <w:p>
      <w:pPr>
        <w:pStyle w:val="Heading1"/>
      </w:pPr>
      <w:r>
        <w:t>5  备份与恢复</w:t>
      </w:r>
    </w:p>
    <w:p/>
    <w:p>
      <w:pPr>
        <w:pStyle w:val="Heading2"/>
      </w:pPr>
      <w:r>
        <w:t>5.1  未经演练的备份不是备份</w:t>
      </w:r>
    </w:p>
    <w:p>
      <w:pPr/>
      <w:r>
        <w:t>这一条写在文档里容易，执行起来容易被推迟——备份任务显示绿色，看起来就没事了。但备份真正的失败模式不是「没备成」，而是「备成了但恢复不出来」：归档链断了一段、表空间路径变了、扩展版本不匹配、加密密钥没有一并保管。这些问题只有真的恢复一次才会暴露。</w:t>
      </w:r>
    </w:p>
    <w:p/>
    <w:p>
      <w:pPr/>
      <w:r>
        <w:t>演练记录须包含实际耗时。恢复时间是一个只能实测的数字，而它决定了灾难发生时对业务的答复是「两小时」还是「明天」。</w:t>
      </w:r>
    </w:p>
    <w:p>
      <w:pPr>
        <w:pStyle w:val="Heading2"/>
      </w:pPr>
      <w:r>
        <w:t>5.2  切换演练与恢复演练是两件事</w:t>
      </w:r>
    </w:p>
    <w:p>
      <w:pPr/>
      <w:r>
        <w:t>切换演练验证的是 RTO 与自动化是否有效；恢复演练验证的是 RPO 与备份是否可用。两者的失败模式完全不同，不能互相替代——一个自动切换完美的集群，可能有一套根本恢复不出来的备份。两类演练在 LD-10 中各有用例。</w:t>
      </w:r>
    </w:p>
    <w:p>
      <w:pPr>
        <w:pStyle w:val="Heading1"/>
      </w:pPr>
      <w:r>
        <w:t>6  三套环境</w:t>
      </w:r>
    </w:p>
    <w:p/>
    <w:p>
      <w:pPr>
        <w:pStyle w:val="Heading2"/>
      </w:pPr>
      <w:r>
        <w:t>6.1  两项前置门</w:t>
      </w:r>
    </w:p>
    <w:p>
      <w:pPr/>
      <w:r>
        <w:t>RFP 2.7.9.5 规定数据分类政策须经 MOI 批准后，方可在生产与培训环境实施任何数据库；2.7.9.11 规定 DLP 登记册须经 MOI 批准后，方可部署任何数据存储。</w:t>
      </w:r>
    </w:p>
    <w:p>
      <w:pPr/>
      <w:r>
        <w:t>这两项是关键路径上的里程碑前置条件，不是可以与开发并行推进的文档工作——未获批准，生产环境无法上线。且两者都需要与 MOI 共同制定而非单向索取，因此启动时间应当早于通常的估计。本方的输入稿在 LD-07 第 9 章。</w:t>
      </w:r>
    </w:p>
    <w:p>
      <w:pPr/>
      <w:r>
        <w:t>对本册的直接影响是：脱敏与匿名化的规则要等这两份批准才能定稿，而测试与培训环境的数据准备依赖这些规则。也就是说，前置门不只卡生产上线，也卡测试环境的数据准备——这一点在排期时容易被漏掉。</w:t>
      </w:r>
    </w:p>
    <w:p>
      <w:pPr>
        <w:pStyle w:val="Heading1"/>
      </w:pPr>
      <w:r>
        <w:t>7  发布与回滚</w:t>
      </w:r>
    </w:p>
    <w:p>
      <w:pPr>
        <w:pStyle w:val="Heading2"/>
      </w:pPr>
      <w:r>
        <w:t>7.1  生产网内不部署代码仓库</w:t>
      </w:r>
    </w:p>
    <w:p>
      <w:pPr/>
      <w:r>
        <w:t>开发侧 Git 为唯一权威。生产网内既不部署代码仓库，也不自研独立的版本管理工具（DD-49）。理由是：不在 MOI 现场开发，内网 Git 无法与外网同步，本地部署一套仓库既无同步来源又增加一个要维护八年的组件；而自研版本管理工具是在重新实现一个已经有成熟答案的问题。</w:t>
      </w:r>
    </w:p>
    <w:p>
      <w:pPr/>
      <w:r>
        <w:t>生产侧的版本管理由三部分承担：</w:t>
      </w:r>
    </w:p>
    <w:p/>
    <w:p>
      <w:pPr/>
      <w:r>
        <w:t>回滚即从对象存储取回上一制品重新导入，不依赖联网。这一点在无外网环境里是关键——任何需要「从上游拉一下」的回滚方案在这里都不成立。</w:t>
      </w:r>
    </w:p>
    <w:p>
      <w:pPr>
        <w:pStyle w:val="Heading2"/>
      </w:pPr>
      <w:r>
        <w:t>7.2  发布路径与验证</w:t>
      </w:r>
    </w:p>
    <w:p/>
    <w:p>
      <w:pPr/>
      <w:r>
        <w:t>热调与发布的界线要写清楚：凡改变口径、结构或行为逻辑的，一律走发布；凡只改变速率与资源占用的，允许热调。这条界线模糊的系统最终会演变成「在生产上直接改」。</w:t>
      </w:r>
    </w:p>
    <w:p>
      <w:pPr>
        <w:pStyle w:val="Heading2"/>
      </w:pPr>
      <w:r>
        <w:t>7.3  部署方式</w:t>
      </w:r>
    </w:p>
    <w:p>
      <w:pPr/>
      <w:r>
        <w:t>部署使用 Ansible 与容器运行时 Podman，不引入 Kubernetes（DD-11）。环境差异以参数区分，不维护多套脚本。</w:t>
      </w:r>
    </w:p>
    <w:p>
      <w:pPr/>
      <w:r>
        <w:t>不引入 Kubernetes 的理由与规模有关：本系统是二十余台虚机的固定拓扑，没有弹性伸缩需求，而 Kubernetes 会引入一整套需要专门技能维护八年的控制平面。在一个无外网、由他方运维团队接手的环境里，运维复杂度本身就是可用性风险。</w:t>
      </w:r>
    </w:p>
    <w:p>
      <w:pPr>
        <w:pStyle w:val="Heading2"/>
      </w:pPr>
      <w:r>
        <w:t>7.4  离线补丁与镜像</w:t>
      </w:r>
    </w:p>
    <w:p>
      <w:pPr/>
      <w:r>
        <w:t>任何虚机不具备互联网出向访问（NW-03）。操作系统与软件包经内网镜像源分发，镜像更新由离线介质导入并留痕。</w:t>
      </w:r>
    </w:p>
    <w:p/>
    <w:p>
      <w:pPr/>
      <w:r>
        <w:t>五条镜像链都必须在无外网条件下可用，且其更新过程本身要留痕——导入了哪个版本、什么时候、谁导入的。这既是安全要求，也是 LD-09 组件版本基线得以维持的前提：没有受控的镜像源，版本清单在第二个月就会与实际不符。</w:t>
      </w:r>
    </w:p>
    <w:p>
      <w:pPr>
        <w:pStyle w:val="Heading2"/>
      </w:pPr>
      <w:r>
        <w:t>7.5  结构变更：数据库结构怎么上线、怎么记版本</w:t>
      </w:r>
    </w:p>
    <w:p>
      <w:pPr>
        <w:spacing w:before="0" w:after="1000"/>
        <w:jc w:val="center"/>
      </w:pPr>
      <w:r>
        <w:rPr>
          <w:rFonts w:ascii="微软雅黑" w:hAnsi="微软雅黑" w:eastAsia="微软雅黑"/>
          <w:b w:val="0"/>
          <w:color w:val="4B5563"/>
          <w:sz w:val="23"/>
        </w:rPr>
        <w:t>数据库结构按编号的「结构变更」逐个执行。用词刻意不叫「迁移」：本项目中「迁移」专指 Hexagon 归档数据的迁入（CN-15 · CN-16 · DD-37），两件事若同名，交接时一检索就会混成两类毫不相干的东西（DD-73）。</w:t>
      </w:r>
    </w:p>
    <w:p>
      <w:pPr>
        <w:spacing w:before="0" w:after="1000"/>
        <w:jc w:val="center"/>
      </w:pPr>
      <w:r>
        <w:rPr>
          <w:rFonts w:ascii="微软雅黑" w:hAnsi="微软雅黑" w:eastAsia="微软雅黑"/>
          <w:b w:val="0"/>
          <w:color w:val="4B5563"/>
          <w:sz w:val="23"/>
        </w:rPr>
        <w:t>机制有四条。一、清单 ddl/changes.yml 记「编号 → 文件列表」，初始结构 ddl/01..05 原样作为变更 0001。二、每执行一个变更，在 meta.ddl_change 中登记一行，记文件列表与拼接后的 SHA-256；该表与 meta.release_registry 并列，一次发布可含零到多个变更。三、每个变更的全部文件连同其登记行在同一个事务中执行，中途失败整体回滚，不留半套结构。四、执行器发现某个已执行变更的文件校验和变了，必须失败并报出新旧两个值。</w:t>
      </w:r>
    </w:p>
    <w:p>
      <w:pPr>
        <w:spacing w:before="0" w:after="1000"/>
        <w:jc w:val="center"/>
      </w:pPr>
      <w:r>
        <w:rPr>
          <w:rFonts w:ascii="微软雅黑" w:hAnsi="微软雅黑" w:eastAsia="微软雅黑"/>
          <w:b w:val="0"/>
          <w:color w:val="4B5563"/>
          <w:sz w:val="23"/>
        </w:rPr>
        <w:t>第四条是这套机制的要害。幂等性来自「这个变更执行过没有」，而不是「这个对象存不存在」——后者是 IF NOT EXISTS 的思路，在表已存在但定义变了时会静默跳过，第二遍跑完一切正常，库里却还是旧结构。只要允许改已执行的文件，各环境的实际结构就会与仓库悄悄失同步，而且没有任何报错。</w:t>
      </w:r>
    </w:p>
    <w:p>
      <w:pPr>
        <w:spacing w:before="0" w:after="1000"/>
        <w:jc w:val="center"/>
      </w:pPr>
      <w:r>
        <w:rPr>
          <w:rFonts w:ascii="微软雅黑" w:hAnsi="微软雅黑" w:eastAsia="微软雅黑"/>
          <w:b w:val="0"/>
          <w:color w:val="4B5563"/>
          <w:sz w:val="23"/>
        </w:rPr>
        <w:t>因此回退不是撤销：已执行的变更永不改动，回退以新增一个反向变更实现，并同样登记。这与登记册「不改写、只新增」是同一条规矩，也使任意一个环境的结构都可以由 meta.ddl_change 的登记行逐条复原。</w:t>
      </w:r>
    </w:p>
    <w:p>
      <w:pPr>
        <w:spacing w:before="0" w:after="1000"/>
        <w:jc w:val="center"/>
      </w:pPr>
      <w:r>
        <w:rPr>
          <w:rFonts w:ascii="微软雅黑" w:hAnsi="微软雅黑" w:eastAsia="微软雅黑"/>
          <w:b w:val="0"/>
          <w:color w:val="4B5563"/>
          <w:sz w:val="23"/>
        </w:rPr>
        <w:t>执行器为 Ansible 加 psql，不另写工具，也不引入 Flyway、Alembic 一类：两者已在生产链上，多一个工具就多一份要送进离网环境、要维护八年的依赖（DD-70）。变更 0000 至 0002 以超级用户执行（建扩展、建角色），此后的变更在事务开头切换到属主角色，使新对象归属主而不归执行者（DD-74 · LD-02 第 13 章）。</w:t>
      </w:r>
    </w:p>
    <w:p>
      <w:pPr>
        <w:pStyle w:val="Heading1"/>
      </w:pPr>
      <w:r>
        <w:t>8  资源需求</w:t>
      </w:r>
    </w:p>
    <w:p>
      <w:pPr>
        <w:pStyle w:val="Heading1"/>
      </w:pPr>
      <w:r>
        <w:t>【2026-10-19 补充，DD-90】集群内增加一个 database：cad_mirror，由 DS 的同步程序经专用写入角色写入，结构为 CAD 74 张表原样。它与 oss911 同集群、同 Patroni 高可用、同备份策略，但是独立的 database：写入角色只是该库的属主，对 oss911 零权限。容量按每日数万行、八年估算，相对主库可忽略。网络上需开通 CAD 区到数据库区的入向写入通道，经 pgBouncer（session 模式，单独池）而非直连主库；该通道属 CN-13/14 同类的前置门，须 MOI 批准。本方集群切换期间 DS 的写入会短暂失败，其重试与缓冲由 DS 负责，写入中间库规范。</w:t>
      </w:r>
    </w:p>
    <w:p/>
    <w:p>
      <w:pPr/>
      <w:r>
        <w:t>数据库三台（主库、同步备库、分析副本）各 16 vCPU、64 至 96 GB 内存、4 TB 数据盘，100% 内存预留；etcd 三台提供仲裁；负载均衡、应用、实时、ETL、身份、监控各成对部署；对象存储三节点；备份库一台。</w:t>
      </w:r>
    </w:p>
    <w:p>
      <w:pPr/>
      <w:r>
        <w:t>生产环境分两个网络区。内网区 22 台，承载全部数据处理、存储与受控数据交付。DMZ 为 internet 接入区，该区本身连同 WAF、DDoS 防护、公网域名与证书、短信与邮件网关均由总包商提供并运维（CN-30）；本方在该区内只有一件东西——2 台接入代理，为移动端提供 TLS 终止与到内网负载均衡的反向代理（CN-31 · IF-40）。这两台此前未出现在资源表中，是本次补上的漏项（CN-37）。代理不保留任何业务数据与凭据，响应不落盘，访问日志实时外送内网监控，本地只留轮转窗口；移动应用管理（MDM、应用分发、设备合规）由 MOI 既有平台承担，不在本方范围。两台按 TLS 终止的开销各给 4 vCPU、8 GB，所依据的移动端并发规模尚未确认（IR-44 / T-32）——该数字只决定这一对代理够不够用，不影响其它任何虚机。</w:t>
      </w:r>
    </w:p>
    <w:p>
      <w:pPr/>
      <w:r>
        <w:t>连接层的顺序是 应用 → pgBouncer → HAProxy → 当前主库（DD-67）。pgBouncer 自己不会找主库，知道谁是主的是 Patroni，HAProxy 读它的 REST 健康检查；把 HAProxy 放在 pgBouncer 之后，pgBouncer 的后端就永远是本机地址，主库易主与它无关。每台 LB 上两个池：业务查询走事务级，Airflow、dbt 与人工运维走会话级——事务级省连接但不保证 SET、临时表与 advisory lock 落在同一后端，而后者正是 ETL 依赖的。会话池的大小即 dbt 的并发上限，两个数必须一起调。LB 对按 active/passive 部署：常态只有一份池在用，但 VIP 漂移的瞬间新接管方会建自己的池而旧连接尚未断尽，因此连接预算按叠加计。据此生产库的 max_connections 由 100 提至 200——不是因为需要 200 个并发，而是要给切换瞬间的叠加与临时人工连接留名额；每连接的固定内存开销在几百 KB 量级，对 64 至 96 GB 的库机可忽略，真正吃内存的 work_mem 由并发查询数决定，而池化之后活跃查询一直很少。</w:t>
      </w:r>
    </w:p>
    <w:p>
      <w:pPr/>
      <w:r>
        <w:t>对象存储容量存在五倍差异，这是本册中最大的一个未定量：按低估算（10% 警情携带 3 张照片、每张 2 MB）八年约需 10 TB；按高估算（30% 携带 5 张）约需 50 TB。当前按低估算提出 3 × 8 TB。实际值取决于 MDS 与 E-Assist 现场媒体的真实比例、张数以及是否含视频，需由业务方确认（T-09）。</w:t>
      </w:r>
    </w:p>
    <w:p>
      <w:pPr/>
      <w:r>
        <w:t>这个差异要在采购前解决，不能留到实施期。八年期的存储采购按 10 TB 做而实际需要 50 TB，追加的不只是磁盘——三节点对象存储的扩容涉及重新规划放置与备份策略。</w:t>
      </w:r>
    </w:p>
    <w:p>
      <w:pPr>
        <w:pStyle w:val="Heading1"/>
      </w:pPr>
      <w:r>
        <w:t>9  对基础设施提供方的要求</w:t>
      </w:r>
    </w:p>
    <w:p>
      <w:pPr/>
      <w:r>
        <w:t>虚机规格本身不产生可用性。主机与存储的隔离方式决定服务等级能否达成。以下二十一条是本设计的可靠性基础，构成对基础设施提供方的输入。</w:t>
      </w:r>
    </w:p>
    <w:p>
      <w:pPr/>
      <w:r>
        <w:t>这一章的用法与其余各章不同：它应当整理为接口文件发出，逐条要求书面答复能否满足。任何一条不能满足，须重新评估相应的服务水平承诺，而不是调整设计——设计调整改变不了物理隔离的缺失。</w:t>
      </w:r>
    </w:p>
    <w:p/>
    <w:p>
      <w:pPr>
        <w:pStyle w:val="Heading2"/>
      </w:pPr>
      <w:r>
        <w:t>9.1  ST-01 是最常被遗漏的一条</w:t>
      </w:r>
    </w:p>
    <w:p>
      <w:pPr/>
      <w:r>
        <w:t>仅做主机反亲和是不充分的保护：两台虚机分散在两台主机上，而虚拟磁盘却由同一个 LUN 切出，存储侧一旦故障两台同时失效——而此时同步复制反而使业务完全停止，因为主库在等一个永远不会回来的确认。</w:t>
      </w:r>
    </w:p>
    <w:p>
      <w:pPr/>
      <w:r>
        <w:t>这一条必须逐项落实到存储映射表，不能停留在「已做反亲和」这句话上。验收时要看的是 LUN 与控制器的实际映射，不是虚拟化平台上的反亲和规则。</w:t>
      </w:r>
    </w:p>
    <w:p>
      <w:pPr>
        <w:pStyle w:val="Heading2"/>
      </w:pPr>
      <w:r>
        <w:t>9.2  两个机架的固有约束</w:t>
      </w:r>
    </w:p>
    <w:p>
      <w:pPr/>
      <w:r>
        <w:t>在只有两个机架的条件下，总有一个机架承载三个 etcd 成员中的两个。该机架整体失效时数据库仍可服务，但自动切换失效，需人工提升。</w:t>
      </w:r>
    </w:p>
    <w:p>
      <w:pPr/>
      <w:r>
        <w:t>要在机架整体失效时仍保持自动切换，需要第三个机架或异地仲裁节点。这是仲裁机制的固有约束，配置调整无法规避——三个成员分到两个机架，无论怎么分都有一个机架占多数。若 MOI 要求覆盖这一场景，须在资源上增加第三个故障域，这是一次采购决策而非设计决策。</w:t>
      </w:r>
    </w:p>
    <w:p>
      <w:pPr>
        <w:pStyle w:val="Heading1"/>
      </w:pPr>
      <w:r>
        <w:t>10  服务水平举证</w:t>
      </w:r>
    </w:p>
    <w:p>
      <w:pPr/>
      <w:r>
        <w:t>本项目由本方自行举证服务水平达成情况。这可行，但成立的前提是判定口径不能同样由本方单方面决定，否则争议发生时一句「你的测量方法不算数」即可推翻全部数据。</w:t>
      </w:r>
    </w:p>
    <w:p/>
    <w:p>
      <w:pPr/>
      <w:r>
        <w:t>没有事先谈定判定口径的自证，等同于没有证据。建议将本节整理为接口文件，在实施启动前发给总包商确认（T-08）。</w:t>
      </w:r>
    </w:p>
    <w:p>
      <w:pPr/>
      <w:r>
        <w:t>举证数据落在 audit schema 的 sla_probe 与 sla_daily 两张表中（DD-45），与业务数据同库同备份，只增不改。放在数据库里而非监控系统里的理由是：监控系统的数据通常有留存期限且可被覆盖，而举证数据需要与考核期一致地保留，并且要能与业务数据在同一次备份中被一并保全。</w:t>
      </w:r>
    </w:p>
    <w:p>
      <w:pPr/>
      <w:r>
        <w:t>另有三类故障不计入本方服务水平，须在判定口径中写明：短信与邮件网关（总包商运维）、HudHud 地图服务（第三方本地部署）、AI 包的推断调用（异步或可降级）。三者本方均须留存交接点证据——投递时间、目标网关、返回码、重试次数——否则「不是我方问题」这句话没有支撑。</w:t>
      </w:r>
    </w:p>
    <w:p>
      <w:pPr/>
      <w:r>
        <w:t>移动端链路含公网段，不适用 RFP 1.6.7.5 的亚秒承诺，须在判定口径中单列或排除（LD-05 第 8 章）。</w:t>
      </w:r>
    </w:p>
    <w:p>
      <w:pPr>
        <w:pStyle w:val="Heading1"/>
      </w:pPr>
      <w:r>
        <w:t>11  交付物与待确认项</w:t>
      </w:r>
    </w:p>
    <w:p/>
    <w:p/>
    <w:p>
      <w:pPr/>
      <w:r>
        <w:t>这八项的责任方全部在本方之外，且其中 T-14 与 T-19 位于关键路径上。本册应在其余各册齐备之前先行发出，正是因为这个原因。</w:t>
      </w:r>
    </w:p>
    <w:sectPr w:rsidR="00FC693F" w:rsidRPr="0006063C" w:rsidSect="00034616">
      <w:footerReference w:type="default" r:id="rId9"/>
      <w:pgSz w:w="11906" w:h="16838"/>
      <w:pgMar w:top="1247" w:right="1304" w:bottom="1247" w:left="130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文件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与本册的关系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LD-02 数据模型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分区与保留策略的实现。备份与恢复的对象是这些表。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LD-09 组件合规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Patroni、etcd、HAProxy、pgBouncer、Ansible、Podman 的许可判定与版本基线。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LD-10 测试方案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高可用演练、恢复演练与性能三档的用例。本册定义演练规程，LD-10 定义如何验收。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LD-04 服务层与接口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故障期间的降级行为在两册中须一致——分析副本失效时报表转向同步备库只读服务。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HD-04 决策登记册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DD-11 · DD-43 · DD-47 · DD-49 是本册的直接依据。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服务等级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每日容差与推论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等级 1（数据库）99.999%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每日 0.86 秒。任何需要人工介入的切换都不可能达标，因此必须自动切换；数据库层禁止资源超分。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等级 2（BI 与报表）99.99%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每日 8.64 秒。服务层各组件必须成对部署并分散在不同物理主机。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节点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角色与复制方式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PG-PRIMARY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写入，系统记录。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PG-STANDBY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零数据丢失的切换目标。同步复制，RPO = 0。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PG-REPLICA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承担全部报表与仪表板查询。异步复制。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etcd × 3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仲裁。Patroni 的分布式配置存储，角色变更的事实来源。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HAProxy × 2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读写分流。写流量指向当前主库，读流量指向分析副本。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pgBouncer × 2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连接池。服务层不直连数据库端口。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参数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取值与理由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synchronous_commit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on（默认）。提交在同步备库落盘后才返回，RPO = 0。降级路径见第 4 章。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synchronous_standby_names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指定同步备库。分析副本不参与同步组——把异步副本拉进同步组会让报表查询的延迟直接反噬写入路径。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Patroni ttl / loop_wait / retry_timeout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按 RTO 不超过 2 分钟反推。取值在实施期实测确定并记录，不抄默认值——默认值是为通用场景设的，不是为每日 0.86 秒容差设的。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maximum_lag_on_failover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设上限，超过该滞后量的节点不得被提升。宁可不切换并告警，也不能提升一个落后太多的节点。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pgBouncer 池模式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事务级。会话级池在分析查询场景下会把连接长期占住。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statement_timeout / idle_in_transaction_session_timeout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分析副本上设硬超时。一条忘记结束的事务会阻塞清理并让副本滞后持续增长。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指标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目标值与实现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RPO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0。主备同步复制，提交在备库落盘后才返回。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RTO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不超过 2 分钟。Patroni 自动检测与提升，应用经 HAProxy 重连，无人工步骤。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报表可用性降级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不中断。分析副本失效时报表查询转向同步备库以只读方式服务，性能下降但不停止。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条件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决策与后果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两项条件均满足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维持 synchronous_commit = on。RPO = 0，符合默认承诺。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时延轻度超标，写入吞吐仍可接受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降为 remote_write。备库收到但未必已落盘，备库主机瞬时掉电时可能丢失极少量已提交事务。须书面记录。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条件明显无法满足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改为异步复制。RPO 不再为 0，须重新协商服务水平承诺。此为需上报的决策，不由实施人员自行决定。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备库故障期间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临时降级，主库继续服务并告警。不允许因备库不可用而阻塞主库写入；备库恢复后自动回到同步状态。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场景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预期行为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主库进程崩溃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Patroni 检测、提升同步备库、HAProxy 切换后端。应用重连。RTO 目标内完成，无人工步骤。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主库主机失效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同上。此时集群暂时无同步备库，按 4.1 第四行临时降级并告警。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同步备库失效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主库继续服务并告警，不阻塞写入。恢复后自动回同步。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分析副本失效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报表查询转向同步备库只读服务。性能下降，界面不中断（与 LD-04 一致）。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etcd 失去仲裁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集群进入只读保护状态，不发生自动切换。这是正确行为——没有仲裁时切换就是在赌。须人工介入。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机架整体失效（两机架条件下）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数据库仍可服务，但自动切换失效，需人工提升。见 9.2 的固有约束说明。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网络分区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Patroni 依据 etcd 仲裁决定归属，少数侧降级为只读。禁止任何绕过仲裁的手动提升。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项目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设计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备份方式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全量、增量与 WAL 归档，支持任意时间点恢复。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存储介质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独立于数据库数据存储（ST-02）。备份与其所保护的数据共享故障域，就不构成备份。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对象存储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媒体对象独立备份策略，按容量与重要性分级。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发布制品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存于对象存储独立前缀，历史版本不删除，不依赖数据库备份（第 7 章）。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恢复演练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定期演练并在 M-09 留痕。未经演练的备份不计为有效备份。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演练类型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频率与验收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全量恢复演练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恢复到独立环境并通过一致性校验与抽样比对。频率与保留期在实施期定，结论写入 M-09。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任意时间点恢复演练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指定一个历史时刻恢复，验证 WAL 归档链完整。这一项最能暴露归档缺口。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对象存储恢复演练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抽样恢复媒体对象并校验其与库内引用的一致性。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发布制品回滚演练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从对象存储取回上一制品重新导入，验证不依赖联网（第 7 章）。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环境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用途与数据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生产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业务运行，完整高可用，完整数据。全部访问写审计。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测试 / 集成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系统集成测试、性能演练、发布验证（RFP 1.6.9）。不要求高可用。数据为生产子集并按数据分级策略脱敏——姓名、电话、精确位置、警情描述原文等。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培训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按角色培训（RFP 1.7）。不要求高可用。匿名化数据集，不含任何可回溯到真实个人或真实警情的内容。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组成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内容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发布制品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接入契约、dbt 模型、指标定义、DDL、部署脚本与组件清单打包为带版本号与 SHA-256 校验和的不可变制品。manifest 中携带变更摘要与评审记录——评审发生在开发侧，但证据必须随制品进入生产，否则运维侧只看得到版本号变了、看不到为什么。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对象存储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制品存入独立前缀，每次变更留一版，历史版本原则上不删除。保留策略在 meta.retention_policy 中单列（artifact 一档），不适用 DD-38 的三层期限。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meta.release_registry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登记每次发布：版本、时间、制品键与校验和、manifest、变更摘要、评审人、导入人、是否当前。M-01 与 M-04 增加只读的版本区块。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环节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规则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路径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测试 → 培训 → 生产，每一级须通过既定验证项。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校验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导入前校验制品的 SHA-256 与 manifest 完整性。校验不通过即拒绝导入，不允许「先用着」。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数据库变更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DDL 以编号的「结构变更」随制品发布，只能前滚：已执行的变更不得修改，回退以新增一个反向变更实现（见 7.5 · DD-73）。破坏性变更（删列、改类型）单独评审并安排在维护窗口。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回滚方案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生产发布须有回滚方案与回滚演练记录。没有演练过的回滚方案不算方案。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热调参数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运行参数的热调（启停、间隔、批量、限流）不走发布流程，但写入审计（M-01）。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镜像链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内容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操作系统包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内网 OS 镜像源。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容器镜像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内部镜像仓库。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Python 包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内网 PyPI 镜像。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Java 与前端包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内网 Maven 与 npm 镜像。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环境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虚机 / vCPU / 内存 GB / 存储 TB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生产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24 / 154 / 588 / 47.6。完整高可用，承载 1.5.2.9 的服务等级。其中内网区 22 / 146 / 572 / 47.4，DMZ 接入区 2 / 8 / 16 / 0.2。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测试 / 集成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3 / 20 / 80 / 3.5。系统集成测试、验收测试与发布验证。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培训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2 / 16 / 64 / 0.9。按角色培训（RFP 1.7）。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合计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29 / 190 / 732 / 52.0。不含对象存储的增长余量。存储按 1 TB = 1024 GB 折算。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编号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要求与级别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PL-01 关键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三台 PostgreSQL 虚机分别位于三台不同物理主机，任何时刻不得两台同宿。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PL-02 关键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三个 etcd 成员位于三台不同物理主机。仲裁丢失将使自动切换失效。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PL-03 关键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每一对高可用组件（LB、APP、RT、ETL、IAM、MON）至少跨两台物理主机。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PL-04 高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三个对象存储节点位于三台不同物理主机。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PL-05 高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上述分组跨至少两个机架，机架具备独立供电与独立接入交换。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ST-01 关键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主库与同步备库的数据卷位于不同的物理存储；至少不同控制器与不同 LUN。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ST-02 关键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备份仓库位于独立于数据库数据存储的介质。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ST-03 关键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数据库数据卷厚置备并保证 IOPS，99 分位写入时延不超过 2 毫秒。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RS-01 关键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承载数据库与 etcd 的主机不得超分 CPU 与内存；内存 100% 预留，禁用气球与交换。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RS-02 高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上述主机的 CPU 就绪时间保持在 5% 以下。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OP-01 关键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禁用数据库虚机的自动在线迁移；迁移须人工计划执行。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OP-02 高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不对数据库虚机做平台级定期快照。平台快照也不是有效的数据库备份。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OP-03 关键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平台高可用重启机制不得与 Patroni 竞争；Patroni 为角色变更的唯一权威。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OP-04 关键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全部虚机与 CAD、话务平台使用同一时钟源，漂移不超过 50 毫秒。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NW-01 高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复制流量、应用流量与管理流量使用独立网络段。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NW-02 关键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主库与同步备库之间往返时延不超过 1 毫秒。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NW-03 高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任何虚机不具备互联网出向访问，DMZ 接入代理亦然；补丁经内网镜像源分发。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NW-04 关键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DMZ 接入代理只接受经平台 WAF 转发的入向流量，向内网仅在指定端口上单向发起；内网不向 DMZ 发起连接。WAF、DDoS 防护、公网域名与证书由平台提供。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RS-03 关键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生产库的 max_connections 不低于 200，且 LB 对按 active/passive 部署。连接预算须按切换瞬间两份池叠加计算，不得按常态单份计（DD-67）。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NW-05 高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每台 LB 节点上 pgBouncer 与 HAProxy 同机部署，pgBouncer 的后端指向本机回环；HAProxy 的健康检查必须使用 Patroni 的 REST /primary，不得使用 TCP 端口探活——备库端口同样可连，TCP 探活会把写流量送至只读备库。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NW-06 关键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内部 CA 能为数据库虚机与负载均衡节点签发服务端证书，且证书中的 CRL 或 OCSP 吊销点在内网可达。库连接与复制流量按 LD-07 第 7 章启用 TLS（sslmode = verify-full）。吊销点若指向外网，离网环境中 TLS 握手不是报错而是超时，表现为连接间歇性卡住数十秒且错误信息不提证书——属最难排查的一类故障。另须给出证书的轮换周期与通知方式。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须事先认可的事项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内容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探测点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从哪一侧发起探测、是否经过对方网络、探测频率。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失败判定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单次失败即计不可用，还是连续 N 次；响应超过多少毫秒计为失败。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数据留存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监控数据独立留存、只增不改、保留期与考核期一致。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交付物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形态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部署手册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Ansible 剧本与参数说明、五条离线镜像链的配置、三套环境的差异参数。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运行手册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日常巡检、告警处置、切换与回滚操作、热调参数的边界。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演练规程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切换演练、全量恢复、任意时间点恢复、对象存储恢复、制品回滚。含记录模板与实测耗时字段。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基础设施要求接口文件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第 9 章十七条，逐条要求书面答复。应最早发出。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服务水平判定口径文件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第 10 章三项，须取得总包商或 MOI 书面认可。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待确认项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影响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T-14 十七条的可满足性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任何一条不能满足，须重新评估相应服务水平承诺而非调整设计。答复周期最长，应最早发出。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T-08 服务水平判定口径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未事先认可则自证无效。建议实施启动前完成。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T-09 现场媒体容量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对象存储在 10 TB 与 50 TB 之间相差五倍。须在采购前解决。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T-13 时钟源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无共同时钟则跨系统事件时序与秒级服务水平测量无法互相印证（OP-04）。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T-15 静态加密能力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平台是否提供数据库与备份存储的静态加密，影响 LD-07 的实现方式。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T-19 两项前置门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数据分类政策与 DLP 登记册。未获批准，生产与培训环境无法上线，且测试环境的数据准备亦被卡住。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T-32 移动端并发规模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注册用户数、峰值并发、是否经移动路径下载大附件。决定 DMZ 两台接入代理是否够用，不影响其它虚机。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T-33 DMZ 侧平台供给与移动应用管理归属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WAF、DDoS、公网域名与证书是否由平台提供；移动应用管理是否由 MOI 既有平台承担。两项均按不在本方范围计入资源与报价（CN-37），若需本方承担则范围须重新评估。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rPr>
        <w:rFonts w:ascii="微软雅黑" w:hAnsi="微软雅黑" w:eastAsia="微软雅黑"/>
        <w:b w:val="0"/>
        <w:sz w:val="21"/>
      </w:rPr>
      <w:t xml:space="preserve">  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80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118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