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40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40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52"/>
        </w:rPr>
        <w:t>概要设计说明书</w:t>
      </w:r>
    </w:p>
    <w:p>
      <w:pPr>
        <w:spacing w:before="0" w:after="1200"/>
        <w:jc w:val="center"/>
      </w:pPr>
      <w:r>
        <w:rPr>
          <w:rFonts w:ascii="微软雅黑" w:hAnsi="微软雅黑" w:eastAsia="微软雅黑"/>
          <w:b w:val="0"/>
          <w:color w:val="4B5563"/>
          <w:sz w:val="24"/>
        </w:rPr>
        <w:t>High Level Design  ( HLD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v0.2  （讨论稿）</w:t>
      </w:r>
    </w:p>
    <w:p>
      <w:pPr>
        <w:spacing w:before="0" w:after="24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本文件定义系统由哪些部分组成、各部分之间如何连接、以及失效时的行为。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具体的数据结构、接口报文与实现方法在详细设计（LLD）中定义。</w:t>
      </w:r>
    </w:p>
    <w:p>
      <w:r>
        <w:br w:type="page"/>
      </w:r>
    </w:p>
    <w:p>
      <w:pPr>
        <w:pStyle w:val="Heading1"/>
      </w:pPr>
      <w:r>
        <w:t xml:space="preserve">  文档信息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07"/>
        <w:gridCol w:w="1077"/>
        <w:gridCol w:w="5726"/>
        <w:gridCol w:w="1020"/>
      </w:tblGrid>
      <w:tr>
        <w:trPr>
          <w:tblHeader/>
        </w:trPr>
        <w:tc>
          <w:tcPr>
            <w:tcW w:type="dxa" w:w="90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版本</w:t>
            </w:r>
          </w:p>
        </w:tc>
        <w:tc>
          <w:tcPr>
            <w:tcW w:type="dxa" w:w="107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日期</w:t>
            </w:r>
          </w:p>
        </w:tc>
        <w:tc>
          <w:tcPr>
            <w:tcW w:type="dxa" w:w="572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修订说明</w:t>
            </w:r>
          </w:p>
        </w:tc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v0.1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首版。框架设计、数据接入、数据模型、指标口径、服务接口、界面、管理运维、安全权限、高可用、部署、多站预留、待定项登记表。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v0.2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依据 RFP 条款逐条复核结果修订。三处实质更正：（一）报表与仪表板数量由三十与十二更正为四十与二十（RFP 1.6.2.25 硬数量）；（二）对外数据服务由"预留能力"更正为"必须交付"（RFP 1.6.2.29、1.6.2.31.1、1.6.2.31.2）；（三）自助分析的"不允许自由 SQL"更正为"提供受控 SQL 查询能力"（RFP 1.6.2.15）。另补入客户反馈数据源、热点与聚集区分析、两项前置门与迁移方案硬期限、库副本与字典模型交付物。图 3-1 与图 3-2 同步更新。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已由 v0.3 取代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v0.3</w:t>
            </w:r>
          </w:p>
        </w:tc>
        <w:tc>
          <w:tcPr>
            <w:tcW w:type="dxa" w:w="107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2026-09</w:t>
            </w:r>
          </w:p>
        </w:tc>
        <w:tc>
          <w:tcPr>
            <w:tcW w:type="dxa" w:w="572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依据详细设计第一轮讨论结论修订，共十处。一、AI 能力经确认由联合体内 AI 包实现，本方交付四向集成接口（IF-07、IF-37 至 IF-39）并以 core.fact_ai_inference 承载回流结果。二、GIS 由沙特本地厂商 HudHud 提供地图数据与嵌入式组件、本地部署，本方保留空间聚合并启用 PostGIS。三、系统设 DMZ 区，含 internet 出口与短信、邮件两个网关（均由总包商运维），告警与报表分发合并为统一投递服务。四、移动端本期交付，形态为只读聚合管理看板，经 DMZ 反向代理访问（IF-40），与 RFP 1.3.2.12.15 的实质差异消解。五、新增记录检索服务，补上 RFP 1.6.2.7 的记录级检索能力。六、新增字段级可见性矩阵，并启用按派驻部门的行级安全（AS-14 已推翻）。七、响应时间改为三档分层承诺，快速路径以近一年数据为界。八、保留期改为三层，纠正八年在线保留对 RFP 2.7.10.4 的口径误读。九、新增 M-11 数据分类与发现界面，管理界面由十个增为十一个。十、迁移起始年份确认为 2016 年，规模基线按约十一年修订。 十一、归档库经更正为 SQL Server（此前记录的 PostgreSQL 系误记），读取 archive 副本库；新增 mssql_read 连接器与开源 TDS 驱动链，图 3-1 与 3-2 同步更新。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讨论稿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本版为讨论稿。第 14 章列出的待定项在答复前，相关章节的内容按建议值撰写并标注"待确认"，不作为承诺。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本文件是投标层面的概要设计。面向开发组的条款级需求、假设与信息需求、约束与设计决策记录，见同目录下的 HD-00 至 HD-05 交接包。三者出现分歧时以 RFP 原文为准。</w:t>
      </w:r>
    </w:p>
    <w:p>
      <w:pPr>
        <w:spacing w:before="0" w:after="200"/>
      </w:pPr>
    </w:p>
    <w:p>
      <w:pPr>
        <w:spacing w:before="0" w:after="80"/>
      </w:pPr>
      <w:r>
        <w:rPr>
          <w:rFonts w:ascii="微软雅黑" w:hAnsi="微软雅黑" w:eastAsia="微软雅黑"/>
          <w:b/>
          <w:color w:val="111827"/>
          <w:sz w:val="24"/>
        </w:rPr>
        <w:t>图表清单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247"/>
        <w:gridCol w:w="5329"/>
        <w:gridCol w:w="2268"/>
      </w:tblGrid>
      <w:tr>
        <w:trPr>
          <w:tblHeader/>
        </w:trPr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532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名称</w:t>
            </w:r>
          </w:p>
        </w:tc>
        <w:tc>
          <w:tcPr>
            <w:tcW w:type="dxa" w:w="226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所在章节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3-1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System Layered Component Diagram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3-2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External Interface Topology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4-1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Ingestion Framework and Runtime Flow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5-1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 Layering and Subject Domains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6-1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 Freshness Tiers and the Day-close Rule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6.2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7-1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Query Path and Realtime Push Path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9-1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Management Console Function Map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9.1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11-1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High Availability Topology and Failure Behaviour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11.2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 12-1</w:t>
            </w:r>
          </w:p>
        </w:tc>
        <w:tc>
          <w:tcPr>
            <w:tcW w:type="dxa" w:w="532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Physical Placement and Storage Isolation</w:t>
            </w:r>
          </w:p>
        </w:tc>
        <w:tc>
          <w:tcPr>
            <w:tcW w:type="dxa" w:w="226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12.2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19"/>
        </w:rPr>
        <w:t>插图使用英文，便于直接用于对外提交物；正文为中文。</w:t>
      </w:r>
    </w:p>
    <w:p>
      <w:r>
        <w:br w:type="page"/>
      </w:r>
    </w:p>
    <w:p>
      <w:pPr>
        <w:pStyle w:val="Heading1"/>
      </w:pPr>
      <w:r>
        <w:t xml:space="preserve">  目  录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rFonts w:ascii="微软雅黑" w:hAnsi="微软雅黑" w:eastAsia="微软雅黑"/>
          <w:b w:val="0"/>
          <w:sz w:val="21"/>
        </w:rPr>
        <w:t xml:space="preserve">  </w:t>
      </w:r>
      <w:r>
        <w:fldChar w:fldCharType="end"/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19"/>
        </w:rPr>
        <w:t>（在 Word 中按 F9 或右键"更新域"生成目录）</w:t>
      </w:r>
    </w:p>
    <w:p>
      <w:r>
        <w:br w:type="page"/>
      </w:r>
    </w:p>
    <w:p>
      <w:pPr>
        <w:pStyle w:val="Heading1"/>
      </w:pPr>
      <w:r>
        <w:t>1  概述</w:t>
      </w:r>
    </w:p>
    <w:p>
      <w:pPr>
        <w:pStyle w:val="Heading2"/>
      </w:pPr>
      <w:r>
        <w:t>1.1  文档目的与读者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本文件是 OSS911 麦加 911 运营中心商业智能与数据仓库子系统的概要设计。它回答三个问题：系统由哪些部分组成、这些部分之间通过什么接口以什么协议连接、以及当某一部分失效时系统的行为是什么。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本文件不回答的问题有两类：一类是数据结构的字段级定义、接口报文格式、SQL 实现与算法细节，这些属于详细设计；另一类是尚未取得外部答复的事项，这些集中列在第 14 章，在答复到位前不写入承诺性表述。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读者包括：我方开发与测试人员、总包商的集成与基础设施团队、DS 与 ICP 的接口对接人员、以及 MOI 的技术评审人员。</w:t>
      </w:r>
    </w:p>
    <w:p>
      <w:pPr>
        <w:pStyle w:val="Heading2"/>
      </w:pPr>
      <w:r>
        <w:t>1.2  系统范围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本子系统覆盖麦加 911 运营中心的数据汇聚、数据仓库、指标口径、报表、仪表板与指挥大屏。麦地那为独立合同，本设计仅做扩展预留（第 13 章），不含其交付内容。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4422"/>
        <w:gridCol w:w="4422"/>
      </w:tblGrid>
      <w:tr>
        <w:trPr>
          <w:tblHeader/>
        </w:trPr>
        <w:tc>
          <w:tcPr>
            <w:tcW w:type="dxa" w:w="442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范围内</w:t>
            </w:r>
          </w:p>
        </w:tc>
        <w:tc>
          <w:tcPr>
            <w:tcW w:type="dxa" w:w="442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范围外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数据接入、数据仓库、指标语义层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硬件采购与虚拟化平台建设（提出资源与放置要求）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报表、仪表板、指挥大屏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模型的训练与推理（提供 AI 就绪的数据与导出能力）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管理与运维界面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话务平台与 CAD 本身的功能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CAD、ICP、归档库的数据接口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通话录音的生产存储与磁带备份</w:t>
            </w:r>
          </w:p>
        </w:tc>
      </w:tr>
      <w:tr>
        <w:tc>
          <w:tcPr>
            <w:tcW w:type="dxa" w:w="442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三套环境（生产 / 测试 / 培训）</w:t>
            </w:r>
          </w:p>
        </w:tc>
        <w:tc>
          <w:tcPr>
            <w:tcW w:type="dxa" w:w="4422"/>
          </w:tcPr>
          <w:p>
            <w:pPr>
              <w:spacing w:after="40" w:before="40" w:line="283" w:lineRule="auto"/>
            </w:pPr>
            <w:r>
              <w:t>通话录音的生产存储与磁带备份之外，本期无其它范围外项；移动应用已改为本期交付（8.4）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1.3  与 RFP 条款的对应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本设计对应 RFP 第 1.6.2 节「OSS911 Solution Business Intelligence, Database Repository, Dashboards and Reports」共 52 条要求，并受第 1.5.2 节服务水平条款与第 1.6.7 节性能条款约束。主要条款与章节的对应关系如下。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4762"/>
        <w:gridCol w:w="2608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条款</w:t>
            </w:r>
          </w:p>
        </w:tc>
        <w:tc>
          <w:tcPr>
            <w:tcW w:type="dxa" w:w="476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内容要点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本文件章节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单一高可用结构化关系型数据库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2.2 · 5.1 · 11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实时数据为当日，历史数据为当日之前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6.2 · 6.3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1.6.2.9 / 1.6.2.20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报表参数、数量与类型经与 MOI 的工作坊确定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7.4 · 8.2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可使用通用 SQL 生成简短报表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客户反馈纳入 BI 并构成绩效度量的一部分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每中心四十张自定义报表与二十个仪表板（硬数量）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7.4 · 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1.6.2.29 / 1.6.2.31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警情与告警的 Web 服务、库结构的数据服务、ESB 适配器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7.7 · 3.3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1.6.2.32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交付非加密完整库副本、数据字典与数据模型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5.7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1.6.5.7.5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分析与智能层含实时 KPI、聚集区与热点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2.7.7.3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合同授予后两个月内提交分步迁移方案（硬期限）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4.6.1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2.7.9.5 / 2.7.9.11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数据分类政策与 DLP 登记册须经 MOI 批准后方可上生产（前置门）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10.4 · 14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数据仓库的建设与数据整合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· 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面向未来分析与人工智能的数据支撑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5.6 · 7.6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1.5.2.9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服务水平：数据库 99.999%，BI 99.99%，按日考核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11.3 · 11.6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1.5.2.8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服务水平报告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9.3 · 11.6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1.6.7.5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性能：95% 亚秒，峰值 99% 低于 2 秒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7.2 · 12.1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测试环境要求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12.3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1.2.1.20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不具备互联网访问条件下的运行与补丁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1.6.2.7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全部数据库可按一组可配置检索条件检索，供操作员即时调取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3.2.4 · 7.2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1.6.3.1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经 Web 服务集成 MOI 指定来源的资源数据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4.6.2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1.3.8.7.26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webhooks、开放 API 与插件式能力与外部 AI 框架及 ML 平台集成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7.6 · 7.7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1.3.8.7.27 / 1.3.8.7.29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自然语言助手与 AI 实时报表生成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3.3 · 7.6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2.7.9.4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对全部数据库与文件周期性自动扫描以识别数据分布与敏感内容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9.1 · 10.4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2.7.10.4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在线一年、离线五年、扩展离线八年的最低保留期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5.5 · 11.5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1.3.2.12.15</w:t>
            </w:r>
          </w:p>
        </w:tc>
        <w:tc>
          <w:tcPr>
            <w:tcW w:type="dxa" w:w="476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信息可通过运行于 iOS 与 / 或 Android 设备的应用访问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8.4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1.4  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7030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术语</w:t>
            </w:r>
          </w:p>
        </w:tc>
        <w:tc>
          <w:tcPr>
            <w:tcW w:type="dxa" w:w="703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接处警调度系统。现为 Hexagon，新系统为 DS。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呼叫平台，提供排队、坐席与录音能力。仅提供 REST 接口。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展示库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为对外集成提供的只读数据库，本系统的主要持续数据来源。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旧系统的历史数据库，一次性迁入后旧系统下线。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增量拉取的推进位置，可以是时间戳或递增序号。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日切 / 封账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一日统计在次日固定时刻定版，此后不再改动快照。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缓变维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会随时间变化的维度（如坐席所属班组）。本系统按"当时"记录。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映射三态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语义映射的状态：已验证 / 已映射未验证 / 未知。</w:t>
            </w:r>
          </w:p>
        </w:tc>
      </w:tr>
    </w:tbl>
    <w:p>
      <w:pPr>
        <w:spacing w:before="0" w:after="140"/>
      </w:pPr>
    </w:p>
    <w:p>
      <w:r>
        <w:br w:type="page"/>
      </w:r>
    </w:p>
    <w:p>
      <w:pPr>
        <w:pStyle w:val="Heading1"/>
      </w:pPr>
      <w:r>
        <w:t>2  设计原则与关键约束</w:t>
      </w:r>
    </w:p>
    <w:p>
      <w:pPr>
        <w:pStyle w:val="Heading2"/>
      </w:pPr>
      <w:r>
        <w:t>2.1  设计原则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以下六条贯穿全文。后续章节中凡出现"不允许"、"唯一"、"必须"的表述，都可以回溯到这六条之一。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4082"/>
        <w:gridCol w:w="3175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原则</w:t>
            </w:r>
          </w:p>
        </w:tc>
        <w:tc>
          <w:tcPr>
            <w:tcW w:type="dxa" w:w="408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违反后的典型后果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单一事实来源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层是唯一的事实来源，mart 与 ai 均为其投影，不得各自从 raw 另起加工链。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同一个"上季度警情数"出现两个数字，且都能自证。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原样落地，向上重建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 层原样保存源系统送来的内容，永不覆盖、永不修正；所有修正通过重建上层完成。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出现数据争议时无法回答"是送来时就错了，还是我们算错了"。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边界即契约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每一个外部数据源以一份可版本化的接入契约描述，契约字段是配置而非代码。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外部方的每一次变化都变成一次开发任务，且发现时已经出错。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服务层唯一出口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展现层与任何外部系统均不得直连数据库，一律经服务层。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行级权限与审计留痕失效，性能责任无法界定。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可用性由放置决定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虚机规格不产生可用性，主机与存储的隔离方式才产生可用性。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规格达标而单点仍在，按日考核的服务水平第一次故障即失守。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承诺可举证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凡是承诺的指标，必须有独立留存、只增不改的测量数据与事先认可的判定口径。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达标而无法证明，等同于未达标。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2.2  关键约束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下表列出对架构产生实质影响的约束，以及各自的设计后果。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381"/>
        <w:gridCol w:w="1361"/>
        <w:gridCol w:w="5102"/>
      </w:tblGrid>
      <w:tr>
        <w:trPr>
          <w:tblHeader/>
        </w:trPr>
        <w:tc>
          <w:tcPr>
            <w:tcW w:type="dxa" w:w="238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约束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来源</w:t>
            </w:r>
          </w:p>
        </w:tc>
        <w:tc>
          <w:tcPr>
            <w:tcW w:type="dxa" w:w="510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设计后果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单一高可用结构化关系型数据库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 · 1.6.2.3（解读）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一个 PostgreSQL 集群实例，内部以 schema 逻辑分层。条文用语为 shall，严于「统一建设」之意；据 MOI 沟通其意图为各应用统一建设同一种数据库、非限制只用一种产品，本设计据此按设计选择处理，该解读不写入投标文件。维持单库的第二条理由（最大事实表千万行级，远未到列存收益区）不受解读影响。列存加速层已预设形态与触发条件，见交接包 DD-31。PostGIS 为 PostgreSQL 扩展而非第二个数据库产品。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 99.999%、BI 99.99%，按日考核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1.5.2.9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每日容差分别为 0.86 秒与 8.64 秒。同步复制、自动切换、数据库层禁止资源超分。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95% 亚秒响应，峰值 99% 低于 2 秒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1.6.7.5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所有查询走分析副本；加工层不在查询路径上；查询 API 带缓存、限流与超时。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实时数据为当日，历史为当日之前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1.6.2.4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三级数据新鲜度与日切封账机制（第 6 章）。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无互联网访问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1.2.1.20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内网镜像源与离线补丁流程；不依赖任何在线服务。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专网无公网可达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>
              <w:t>不使用 APNs 与 FCM 推送——内政部数据不经第三方服务转发。移动端经 DMZ 反向代理访问，本期交付，打开应用后主动拉取（8.4 · DD-30）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仅提供 REST 接口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话务数据无第二条技术通道，对账只能与话务平台自身报表比对（6.4）。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展示库提供只读基表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DS 商定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语义映射在我方 staging 层完成，映射登记表与验证样例为交付物（4.3）。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报表按语言各出一份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MOI 商定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不做阿英混排，每份报表模板有阿语版与英语版两套，各自单向排版（7.4）。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每中心四十张自定义报表与二十个仪表板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硬数量，为交付量下限。与"复刻现有报表"的关系须在设计阶段书面澄清（7.4 · 8.2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Web 服务与数据服务对外提供，并为 ESB 开发适配器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1.6.2.29 · 1.6.2.31.1 · 1.6.2.31.2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对外数据服务是必须交付项而非可选能力；适配器的交付时间取决于 ESB 规格冻结（7.7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可使用通用 SQL 生成简短报表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1.6.2.15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在语义层之外提供受控 SQL 能力：授权角色、只读、分析副本、强制超时与全程审计（8.1）。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数据分类政策与 DLP 登记册须经 MOI 批准后，方可在生产与培训环境实施任何数据库与数据存储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2.7.9.5 · 2.7.9.11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关键路径上的前置门，不是并行工作。批准日期必须早于生产库上线日期（10.4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合同授予后两个月内提交分步数据迁移方案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2.7.7.3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硬期限，且依赖对现有环境的分析已完成（4.6.1 · 14）。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能力由联合体内 AI 包实现，本方仅提供接口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联合体划界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本方交付四向集成接口：IF-37 供数、IF-07 结果回流、IF-38 语义目录与结构化查询、IF-39 叙述块生成；AI 结果经接入契约进 raw 并落 core.fact_ai_inference，不写入业务事实表；AI 调用一律异步或可降级，其故障不计入本方服务水平（3.3 · 5.1 · 7.6）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GIS 由沙特本地厂商 HudHud 提供，地图服务本地部署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联合体划界 + 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本方不建底图、瓦片与地图应用；空间聚合（网格化、点在面内判定、热点强度）留在本方 mart 层并启用 PostGIS；组件与瓦片须可离线部署以满足无外网要求；地图故障不计入本方服务水平（5.1 · 8.2）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系统设 DMZ 区，含 internet 出口与短信、邮件网关，均由总包商运维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告警与报表分发合并为统一投递服务，两类内容三条通道；网关故障不计入本方服务水平，但本方须留存投递交接点证据；NW-03 仍成立——DMZ 为入向代理，本方虚机无互联网出向访问（7.4 · 9.3 · 11.6）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移动端经 internet 与 DMZ 反向代理访问，不在专网内直连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独立的移动端对外面 IF-40：独立令牌受众与限流、Keycloak 按端点白名单经代理暴露、独立审计标记；移动端仅服务聚合指标，记录级接口在该受众下一律拒绝；移动端链路含公网段，不适用 1.6.7.5 的亚秒承诺（8.4 · 10.2 · 12.2）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调度员与主管来自不同派驻部门，须按部门切分可见数据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行级安全本期启用（原为预留）：调度员与主管按派驻部门过滤，接警员与管理员不受限；部门归属以 AD 为目标、M-06 本地映射表为过渡；编码以 CAD 处置单位编码为权威，映射不上时拒绝放行而非静默返回空（10.2 · 10.3）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在线保留一年、离线五年、扩展离线八年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2.7.10.4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原「业务数据在线保留八年」为口径误读。改为三层：热层近一年承担亚秒查询，温层为一年以上的全部历史、走历史查询路径，冷层按备份分层执行（5.5 · 7.2）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归档库为 SQL Server，读取 archive 副本库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现场条件</w:t>
            </w:r>
          </w:p>
        </w:tc>
        <w:tc>
          <w:tcPr>
            <w:tcW w:type="dxa" w:w="51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新增第五类连接器 mssql_read 与开源 TDS 驱动链；跨库类型映射须逐类定义；SQL Server 的 datetime 不带时区，REQ-MIG-08 的保真表述须按源端实际情况修订（4.6.1 · 14 章）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2.3  业务规模基线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本设计的容量与性能取值以下表为基线。需要说明的是，本系统的设计驱动因素不是数据量——八年明细数据加索引约 1.3 TB，对 PostgreSQL 而言并不构成挑战。真正的驱动因素是按日考核的可用性、外部接口的稳定性与数据治理的可证明性。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2041"/>
        <w:gridCol w:w="2041"/>
        <w:gridCol w:w="2835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项目</w:t>
            </w:r>
          </w:p>
        </w:tc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平常</w:t>
            </w:r>
          </w:p>
        </w:tc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朝觐期间</w:t>
            </w:r>
          </w:p>
        </w:tc>
        <w:tc>
          <w:tcPr>
            <w:tcW w:type="dxa" w:w="28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累计（迁移自 2016 年起，约十一年）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日呼叫量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数千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最高 50,000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1,600 万次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日警情量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30% 呼叫形成派单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同比例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1,610 万起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在线坐席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30 人一班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 120 + 调度 120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系统用户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数十人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数十人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仓库明细数据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690 ~ 1,010 GB（含索引约 1.8 TB）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现场媒体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待确认，见 14 章 D-01</w:t>
            </w:r>
          </w:p>
        </w:tc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 TB ~ 50 TB（相差五倍；为上线后累积估算，历史迁移是否含媒体待确认）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关于录音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通话录音由话务平台产生并由生产系统按磁带方式备份，不属于本系统的存储成本。本系统只保存录音的元数据与访问引用，不复制录音本体。若将来 AI 侧需要录音用于训练，通过第 7.6 节的导出接口按批次授权提取，不改变本系统的存储设计。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3  系统框架设计</w:t>
      </w:r>
    </w:p>
    <w:p>
      <w:pPr>
        <w:pStyle w:val="Heading2"/>
      </w:pPr>
      <w:r>
        <w:t>3.1  分层与边界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系统分为六层，其中管理与运维层横切其余各层。系统边界画在接入层的连接器上：连接器之外的一切属于源系统，不是本系统的组件，只是本系统接口的对端。这条边界同时是责任边界。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02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3-1-System-Layered-Component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02899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3-1  System Layered Component Diagram   系统分层组件图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图中有三处需要特别说明。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查询路径不经过加工层。加工层只负责把数据算好写回存储层，它不在任何一次用户查询的链路上。存储层与加工层之间是双向的读写关系，其余层间关系均为单向。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mart 与 ai 是从 core 并列分叉的两条投影，不是串联关系，也不是两条独立的加工链。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虚线表示系统边界之外：L0 整层、以及对外数据服务与 AI 包等外部消费方。移动应用本期交付，不再以虚线表示。</w:t>
      </w:r>
    </w:p>
    <w:p>
      <w:pPr>
        <w:pStyle w:val="Heading2"/>
      </w:pPr>
      <w:r>
        <w:t>3.2  各层组件与能力</w:t>
      </w:r>
    </w:p>
    <w:p>
      <w:pPr>
        <w:pStyle w:val="Heading3"/>
      </w:pPr>
      <w:r>
        <w:t>3.2.1  L1 接入层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连接器运行时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五类协议适配：pg_read、mssql_read、rest_api、kafka_consume、file_drop。负责分页、限流、重试、断点续传、批事务提交。不含任何业务语义。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接入契约注册表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每个数据源一份契约：水位线、幂等键、软删除、迟到窗口、调度、期望、契约版本。Git 为权威，库内副本只读。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水位与运行状态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每源当前水位；每次运行的 run_id、起止水位、行数、结果。重放的依据。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期望校验与隔离区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批级校验（非空、唯一、类型、值域）。不合格整批隔离，不进 raw，并告警。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归档迁移工具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一次性全量迁移，含分批、校验与对账报告。上线并完成对账后停用。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3.2.2  L2 存储层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集群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单一实例，七个 schema：raw、staging、core、mart、ai、meta、audit。主库承担写入，同步备库承担零丢失，分析副本承担全部查询。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集群高可用组件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Patroni 为角色变更的唯一权威；etcd 三成员提供仲裁；HAProxy 与 pgBouncer 提供读写分流与连接池。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现场媒体、报表产物、AI 训练导出。S3 兼容接口，仅由服务层访问。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备份仓库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全量、增量与 WAL 归档。存储介质独立于数据库数据存储。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空间扩展（PostGIS）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坐标系转换（ST_Transform）、点在面内判定、网格与热点聚合。为 PostgreSQL 的扩展而非第二个数据库产品，不违反 2.2 的单一关系库约束。底图、瓦片与地图应用由 HudHud 提供，不在本系统内。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3.2.3  L3 加工层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批量编排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调度、依赖、重试、补数、SLA 告警。DAG 由接入契约注册表动态生成。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模型构建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 至 core 至 mart / ai 的模型物化、增量策略、血缘与测试。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准实时聚合器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分钟级按日桶重算，仅重算受影响的日期分区。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短周期拉取源系统的当前状态，在内存中维护"此刻"视图。不落主库，不参与统计。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数据质量与对账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规则化校验、跨系统对账、日结封账与修正标记、值剖析。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敏感数据发现扫描器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对数据库与对象存储（现场媒体、报表产物、AI 导出）周期性扫描，识别数据分布与敏感内容。扫描周期可配置。结果只存字段名、类型判定与置信度，不存样例值；使用独立服务账号；扫描行为写审计。结果驱动分类打标、字段可见性默认值与脱敏规则对象清单。</w:t>
            </w:r>
          </w:p>
        </w:tc>
      </w:tr>
    </w:tbl>
    <w:p>
      <w:pPr>
        <w:spacing w:before="0" w:after="140"/>
      </w:pPr>
    </w:p>
    <w:p>
      <w:pPr>
        <w:pStyle w:val="Heading3"/>
      </w:pPr>
      <w:r>
        <w:t>3.2.4  L4 服务层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服务层是本系统对外访问的唯一出口。展现层与任何外部系统均不得直连数据库；任何提出直连需求的场景都必须走变更评审。这条约束若不成立，第 10 章的行级权限预留与审计留痕将全部失去意义。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6803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组件</w:t>
            </w:r>
          </w:p>
        </w:tc>
        <w:tc>
          <w:tcPr>
            <w:tcW w:type="dxa" w:w="680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语义与指标服务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指标注册表：定义、口径、维度、粒度、权威来源。全项目指标定义的唯一事实来源。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 API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按指标、维度、过滤条件与时间粒度查询。分页、缓存、超时、并发限流。响应携带四个元字段（见 7.2）。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实时推送网关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WebSocket 订阅与推送。订阅主题按角色与数据权限过滤，断线重连带补偿。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报表渲染服务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按模板生成 PDF、Word 与 Excel。阿语与英语各出一份，不做混排。异步任务，产物入对象存储。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投递服务（报表与告警）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统一投递抽象：两类内容（报表产物、告警消息）× 三条通道（邮件网关、短信网关、门户内消息）。含计划触发、失败重试、投递回执与交接点留痕（投递时间、目标网关、返回码、重试次数，只增不改）。两个网关由总包商提供，其故障不计入本方服务水平。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对象存储的受控访问，签发短时效凭证，不向客户端暴露存储地址。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宽表查询、批量导出、媒体与结构化数据的关联索引、导出配额与审计（IF-37）。另提供语义目录与结构化查询（IF-38）供 AI 包的自然语言助手使用，以及叙述块生成的调用出口（IF-39）。AI 包只生成结构化查询体，不生成 SQL。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身份与授权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令牌校验、角色解析。两级数据权限下推：字段级可见性矩阵（角色 × 字段，服务端裁列，缓存键含白名单指纹）与行级部门过滤（调度员与主管按派驻部门，接警员与管理员不受限）。两者在全部出口路径生效，含报表订阅分发等以系统身份运行的异步任务。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告警规则与评估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按指标、阈值、时间窗与作用域定义规则，挂在准实时聚合器之后，不在查询路径上。含去重与静默。告警事件落 core，因而可被统计并经 IF-33 对外提供。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记录检索服务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按受配置的有限条件集检索记录，每条条件对应索引；时间范围必填且有最大跨度上限；结果集有硬上限，超限要求收窄条件；一律走分析副本；归档迁移数据纳入同一检索面；移动端受众一律拒绝。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MCP 服务器（可选增补）</w:t>
            </w:r>
          </w:p>
        </w:tc>
        <w:tc>
          <w:tcPr>
            <w:tcW w:type="dxa" w:w="680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在查询 API 与语义目录之上封装的只读工具与资源，供外部 AI 框架与 ML 平台集成（RFP 1.3.8.7.26）。走同一服务层、鉴权、审计与权限下推，返回携带 6.5 的四个元字段。锁定规范版本，不跟随上游演进。非强制交付项。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3.3  接口清单与协议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系统边界上的每一个接口都有编号、协议、方向与频率。入向接口一律终结于接入层，出向接口一律发自服务层；没有例外通道。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93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3-2-External-Interface-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9367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3-2  External Interface Topology   外部接口拓扑图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2608"/>
        <w:gridCol w:w="1928"/>
        <w:gridCol w:w="2608"/>
        <w:gridCol w:w="1134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链路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协议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方式与频率</w:t>
            </w:r>
          </w:p>
        </w:tc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归档库（SQL Server, archive 副本）至 迁移工具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TDS / TLS（FreeTDS 开源驱动链）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只读账号读副本库，一次性全量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待定范围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IF-02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展示库 至 pg_read 连接器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wire / 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只读账号读基表，水位线增量，分钟级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已商定方式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IF-03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至 rest_api 连接器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轮询，2 至 10 秒；鉴权方式待定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待接口文档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IF-04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 Kafka 至 kafka_consume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Kafka / SASL+TLS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消费者组；预留，上线时不启用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预留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IF-05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文件投递 至 file_drop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SFTP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到达即处理，带清单与校验和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IF-06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客户反馈来源 至 接入层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待定（REST 或文件投递）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按反馈系统的形态确定；采集方与数据形态待确认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IF-07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包 至 接入层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 或 file_drop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推断结果回流，经标准接入契约进 raw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IF-30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BI 门户与仪表板 至 用户浏览器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交互式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指挥大屏 至 服务层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+ WSS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推送，2 至 10 秒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IF-32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 至 服务层（经 DMZ 反向代理）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+ WSS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后续阶段，不在本次范围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已并入 IF-40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IF-33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对外数据服务与 ESB 适配器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 + ESB 适配器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警情与告警的 Web 服务；库结构的数据服务；按 ESB 规格实现的适配器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IF-34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投递服务：报表与告警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SMTP 邮件网关 / 短信网关 / 门户内消息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按订阅计划与告警规则触发，含重试与回执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必须交付；两网关由总包商提供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IF-35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身份服务 至 MOI 目录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LDAPS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按需查询与同步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IF-36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全部虚机 至 时钟源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NTP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 CAD、话务平台同源，漂移不超过 50 毫秒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待确认时钟源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IF-37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数据服务供数：宽表点查、批量导出、媒体关联索引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IF-38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REST-JSON（MCP 为第二种绑定）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语义目录与结构化查询；AI 包不生成 SQL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IF-39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AI 包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 / REST-JSON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报表叙述块生成调用；异步或可降级，超时即跳过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IF-40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 至 服务层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HTTPS，经 DMZ 反向代理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只读聚合看板；独立令牌受众、有效期与限流；记录级接口拒绝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本期交付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IF-41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展现层 至 HudHud 地图服务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HTTPS（内网）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嵌入式组件与底图瓦片，本地部署、可离线加载；本方提供聚合结果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设计完成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T-29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归档库的类型与字符集细节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 Server 版本；时间字段为 datetime、datetime2 还是 datetimeoffset；阿拉伯语字段为 nvarchar 还是带阿语 collation 的 varchar。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DS / 现有运维方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时间类型直接决定 RFP 2.7.7.5「保留原始时区」如何应答——源端若为 datetime 则时区信息本就不存在，须在迁移方案中如实表述而非等验收时发现（4.6.1 · 对应 IR-42）。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系统内部的组件间接口（连接器至 raw、服务层至分析副本、实时服务实例间同步等）不构成外部承诺，其协议在下表列出，报文与调用细节在详细设计中定义。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4139"/>
        <w:gridCol w:w="3969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13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链路</w:t>
            </w:r>
          </w:p>
        </w:tc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协议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IF-10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 至 raw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libpq，批事务提交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IF-11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契约注册表 至 连接器与编排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部署时文件同步，库内只读副本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IF-12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批量编排 至 模型构建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进程调用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IF-14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实时状态服务 至 源系统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复用 IF-02 与 IF-03，独立连接池与配额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IF-15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实时服务实例间同步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 LISTEN / NOTIFY，不引入新中间件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IF-16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数据库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libpq 经 pgBouncer，只读走分析副本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IF-18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对象存储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S3 over HTTPS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IF-19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 至 身份服务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OIDC / JWT 校验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IF-20</w:t>
            </w:r>
          </w:p>
        </w:tc>
        <w:tc>
          <w:tcPr>
            <w:tcW w:type="dxa" w:w="413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全组件 至 监控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 指标端点，拉取式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3.4  用户界面与管理界面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1701"/>
        <w:gridCol w:w="6236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界面</w:t>
            </w:r>
          </w:p>
        </w:tc>
        <w:tc>
          <w:tcPr>
            <w:tcW w:type="dxa" w:w="623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BI 门户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自建外壳，Superset 作为后端查询引擎不直接暴露给用户。报表目录、参数化查询、自助分析、导出、订阅管理。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仪表板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门户内，20 个预置加自定义（RFP 1.6.2.25）。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指挥大屏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 Web 应用，长连接，无人值守自恢复。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U-04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移动应用</w:t>
            </w:r>
          </w:p>
        </w:tc>
        <w:tc>
          <w:tcPr>
            <w:tcW w:type="dxa" w:w="623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本期交付。原生薄壳内嵌移动专用布局，经 MOI 既有 MDM 分发；仅主管与管理员；只读，仅封账聚合指标，无记录级下钻、媒体访问与导出。见 8.4。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管理界面共十一个，见第 9 章与图 9-1。</w:t>
      </w:r>
    </w:p>
    <w:p>
      <w:r>
        <w:br w:type="page"/>
      </w:r>
    </w:p>
    <w:p>
      <w:pPr>
        <w:pStyle w:val="Heading1"/>
      </w:pPr>
      <w:r>
        <w:t>4  数据接入框架</w:t>
      </w:r>
    </w:p>
    <w:p>
      <w:pPr>
        <w:pStyle w:val="Heading2"/>
      </w:pPr>
      <w:r>
        <w:t>4.1  三层切分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接入框架的设计目标是：外部方的答复尚未到位时，设计也能定稿；答复到位后，改动落在配置而不是代码上。为此把接入拆成三层，界线是"配置管取数的机械动作，代码与 SQL 管语义"。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912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4-1-Ingestion-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127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4-1  Ingestion Framework and Runtime Flow   接入框架与运行时流程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新增一个数据源的工作量是：一段 YAML 契约加一个 staging 模型，不写新的 DAG 代码。批量编排的 DAG 由注册表动态生成。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一条刻意的限制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契约中不引入表达式或转换语言。一旦允许在 YAML 里写 upper(trim(col)) 这样的内容，配置文件就会逐步变成一门没有测试、没有调试器、也没有人愿意维护的编程语言。所有转换写在 dbt 模型里，接受评审与测试。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4.2  接入契约字段规范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3175"/>
        <w:gridCol w:w="3742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取值 / 默认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source_id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数据源标识，全局唯一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 ds_cad.incident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connector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连接器类型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pg_read / mssql_read / rest_api / kafka_consume / file_drop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target_raw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 层目标表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 raw.ds_cad__incident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watermark.field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水位线字段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源系统字段名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watermark.type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水位线类型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timestamptz / sequence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watermark.lookback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回看窗口，用于兜底提交乱序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15 分钟；type 为 sequence 时可为 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idempotency_key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幂等键，用于去重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字段列表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soft_delete_field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软删除标志字段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无则须由变更日志表替代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late_window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迟到数据接受窗口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7 天，超出进修正表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schedule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调度周期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cron 表达式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batch_size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单批行数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5000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expectations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批级校验规则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not_null / unique / domain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on_violation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校验不通过时的动作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quarantine（默认）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contract_version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契约版本号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整数，随契约变更递增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enabled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启停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true / false，可运行时热调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注册表的权威副本在 Git，库内表为部署时同步的只读缓存。结构性字段（水位线、幂等键、目标表、契约版本）的变更须走发布流程；运行参数（启停、调度间隔、批大小、限流）可运行时热调，但带审计留痕。这样区分的原因很实际：源系统压力突增时需要立即降低轮询频率，这不能等发布窗口；而水位线字段的更换如果能在生产界面上点一下完成，出了问题就无法查清当时的规则。</w:t>
      </w:r>
    </w:p>
    <w:p>
      <w:pPr>
        <w:pStyle w:val="Heading2"/>
      </w:pPr>
      <w:r>
        <w:t>4.3  语义映射与三态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DS 展示库的字段名多为缩写，数据字典可以取得，但并非每个取值的含义都清楚。本设计不要求字典先完成再开工，而是把"以后再澄清"落成一套可管理的机制。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4082"/>
        <w:gridCol w:w="2948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状态</w:t>
            </w:r>
          </w:p>
        </w:tc>
        <w:tc>
          <w:tcPr>
            <w:tcW w:type="dxa" w:w="408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含义</w:t>
            </w:r>
          </w:p>
        </w:tc>
        <w:tc>
          <w:tcPr>
            <w:tcW w:type="dxa" w:w="294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允许的使用方式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verified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已验证：有验证样例，用一起真实警情从源系统界面追到我方计算结果，两边一致。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可用于任何对外发布的指标。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mapped_unverified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已映射未验证：映射已写，含义基于推断。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可用于探索性分析；进入对外指标时该指标必须带标记。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unknown</w:t>
            </w:r>
          </w:p>
        </w:tc>
        <w:tc>
          <w:tcPr>
            <w:tcW w:type="dxa" w:w="408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未知：不知道含义，未被任何模型使用。</w:t>
            </w:r>
          </w:p>
        </w:tc>
        <w:tc>
          <w:tcPr>
            <w:tcW w:type="dxa" w:w="294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不使用。但数据已在 raw 层，将来澄清后可重算全部历史。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每个在范围内的列都必须有一行登记，结构漂移检测发现的新列默认落 unknown。空白与未知的区别在于：空白会被遗忘，未知会被统计并排期。</w:t>
      </w:r>
    </w:p>
    <w:p>
      <w:pPr>
        <w:pStyle w:val="Heading3"/>
      </w:pPr>
      <w:r>
        <w:t>4.3.1  值剖析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对所有代码与枚举字段持续做取值剖析，记录不同取值、各自占比、首次出现与最近出现时间。它同时解决三个问题：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把"字典没写清楚"变成有限且可排序的问题清单。向 DS 提问的方式不是"这一列是什么意思"，而是"这一列有 7 个取值，A、B、C 合计占 98%，请确认这三个的含义，其余四个各自占比不足 0.3%，可以后议"。这种问法拿到答复的概率高得多。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发现后来新增的代码值。第三年 CAD 增加一个新的警情类别，一次性字典永远发现不了，剖析器在当天就会报出来。这是长期最容易吃亏的地方。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为"先处理需要用的"提供优先级依据。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未映射的取值不得静默归入"其他"，而是落到显式的未映射桶，在 M-03 界面可见，日占比超过阈值（建议 0.5%）即告警。把未知悄悄折进"Other"，是报表变得安静地错掉的最常见原因。</w:t>
      </w:r>
    </w:p>
    <w:p>
      <w:pPr>
        <w:pStyle w:val="Heading2"/>
      </w:pPr>
      <w:r>
        <w:t>4.4  结构漂移检测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每次拉取前抓取源库的结构快照并与上次比对。结构发生变化时隔离该批数据并告警，绝不带着未知变更继续向下计算。实现成本很低，但它消灭的是最难排查的一类故障：外部系统升级后，数据仍在流动，数字却已经不对。</w:t>
      </w:r>
    </w:p>
    <w:p>
      <w:pPr>
        <w:pStyle w:val="Heading2"/>
      </w:pPr>
      <w:r>
        <w:t>4.5  重放与补数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水位线与运行状态独立于契约存储，因此可以把某个数据源的水位重置到指定位置重新拉取。raw 层原样保留且不被覆盖，配合 run_id 与 contract_version 打标，可以准确回答"这条数据是哪一次运行、按第几版契约、从哪个水位进来的"。口径变更、映射修正与迟到数据的处理，全部通过重建上层完成，不修改 raw。</w:t>
      </w:r>
    </w:p>
    <w:p>
      <w:pPr>
        <w:pStyle w:val="Heading2"/>
      </w:pPr>
      <w:r>
        <w:t>4.6  各数据源的接入方式</w:t>
      </w:r>
    </w:p>
    <w:p>
      <w:pPr>
        <w:pStyle w:val="Heading3"/>
      </w:pPr>
      <w:r>
        <w:t>4.6.1  归档库（IF-01）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旧系统的历史数据一次性全量迁入，迁移完成并通过对账后旧系统下线，本接口随之停用。归档库为 SQL Server（Hexagon 原生），读取的是 archive 副本库而非生产库——这样迁移对现有环境的运行、技术、系统与数据均无影响（REQ-MIG-05）。跨库接入新增 mssql_read 连接器与开源 TDS 驱动链（DD-52）。迁移的起始年份为 2016 年，对账口径见交接包 DD-37。</w:t>
      </w:r>
    </w:p>
    <w:p>
      <w:pPr>
        <w:pStyle w:val="Heading3"/>
      </w:pPr>
      <w:r>
        <w:t>4.6.2  DS CAD 展示库（IF-02）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采用只读账号访问展示库基表、按水位线增量拉取、原样落 raw 的方式，语义映射在我方 staging 层完成。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曾考虑的另一方案是由我方定义表结构、DS 按此结构写入。该方案未被采用，原因是：语义映射的工作量在两个方案里相同，区别只在于由谁完成、在哪一侧、出错后能否被检验和修复。由 DS 写入意味着映射逻辑在其程序内部，我方无法查看、无法测试、无法修复，却要承担结果的正确性责任。更重要的是，该方案会使 raw 层不复存在——外部方只写入我方定义的那些列，未被定义的字段根本不会进来，将来理解了也没有历史数据可补；同时也失去了在数据争议中自证的能力。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本接口需要 DS 提供的输入，列在第 14 章依赖项中：数据字典（含代码值含义）、水位线字段与是否存在递增序号、软删除或变更日志的表达方式、可重放窗口、结构变更的通知承诺、只读账号与负载约束。</w:t>
      </w:r>
    </w:p>
    <w:p>
      <w:pPr>
        <w:pStyle w:val="Heading3"/>
      </w:pPr>
      <w:r>
        <w:t>4.6.3  ICP 话务平台（IF-03）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ICP 仅提供 REST 接口，不提供数据库复制能力。接口文档尚未取得，因此本设计按两种形态分别定义，接口文档到位后选择其一落地，不需要返工。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2041"/>
        <w:gridCol w:w="3628"/>
        <w:gridCol w:w="3175"/>
      </w:tblGrid>
      <w:tr>
        <w:trPr>
          <w:tblHeader/>
        </w:trPr>
        <w:tc>
          <w:tcPr>
            <w:tcW w:type="dxa" w:w="204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形态</w:t>
            </w:r>
          </w:p>
        </w:tc>
        <w:tc>
          <w:tcPr>
            <w:tcW w:type="dxa" w:w="36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实现方式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对指标精度的影响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提供历史事件接口</w:t>
            </w:r>
          </w:p>
        </w:tc>
        <w:tc>
          <w:tcPr>
            <w:tcW w:type="dxa" w:w="36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拉取事件流，按事件精确计算坐席状态时长与话务过程指标。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精度不受轮询周期限制。</w:t>
            </w:r>
          </w:p>
        </w:tc>
      </w:tr>
      <w:tr>
        <w:tc>
          <w:tcPr>
            <w:tcW w:type="dxa" w:w="204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仅提供当前状态快照</w:t>
            </w:r>
          </w:p>
        </w:tc>
        <w:tc>
          <w:tcPr>
            <w:tcW w:type="dxa" w:w="36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按轮询周期采样，状态时长由采样点推算。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单次状态时长误差最大为一个轮询周期；日累计误差随状态切换次数放大。此形态下，坐席状态时长类指标须在报表上标注测量方式。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另需注意，ICP 没有第二条技术通道可用于交叉验证，因此话务类指标的对账只能与话务平台自身的报表比对，对账规则在 6.4 定义。</w:t>
      </w:r>
    </w:p>
    <w:p>
      <w:pPr>
        <w:pStyle w:val="Heading3"/>
      </w:pPr>
      <w:r>
        <w:t>4.6.4  外部 Kafka（IF-04）与文件投递（IF-05）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本系统不自建 Kafka 代理，但保留消费能力。上线时不启用，契约（主题命名、消息格式、幂等键、位点语义）先行定义，避免将来接入时才发现语义不兼容。文件投递作为人工与兜底通道，要求随文件提供清单与校验和。</w:t>
      </w:r>
    </w:p>
    <w:p>
      <w:r>
        <w:br w:type="page"/>
      </w:r>
    </w:p>
    <w:p>
      <w:pPr>
        <w:pStyle w:val="Heading1"/>
      </w:pPr>
      <w:r>
        <w:t>5  数据模型与分层</w:t>
      </w:r>
    </w:p>
    <w:p>
      <w:pPr>
        <w:pStyle w:val="Heading2"/>
      </w:pPr>
      <w:r>
        <w:t>5.1  schema 链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物理上只有一个数据库集群实例，满足 RFP 1.6.2.3。分层是 schema 级的逻辑隔离，不是多个数据库实例。物理上真正分离的只有读写：写入走主库，全部查询走分析副本。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495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5-1-Data-Layer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49528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5-1  Data Layering and Subject Domains   数据分层与主题域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134"/>
        <w:gridCol w:w="1247"/>
        <w:gridCol w:w="4876"/>
        <w:gridCol w:w="1587"/>
      </w:tblGrid>
      <w:tr>
        <w:trPr>
          <w:tblHeader/>
        </w:trPr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schema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87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可否重建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原始落地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与源系统逐字一致，附完整原始载荷（JSONB）与接入元数据。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不可，为源头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清洗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核心模型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跨源整合的事实与维度，缓变维 Type 2，日切版本与修正标记。含 fact_ai_inference（AI 包回流的推断结果，带模型标识、版本、推理时间与置信度，与业务事实分表）。事实表带警情坐标与网格键，供热点聚合。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主题层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面向报表与仪表板的聚合，按五个主题域分组。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数据层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实体级宽表、特征表、媒体索引、导出快照。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元数据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接入契约、映射登记、指标注册、血缘、水位与运行状态、值剖析、待澄清队列。另含时间轴上的 schema 版本登记表（归档多版本归一化）、坐标系三项配置、以及字段可见性矩阵与部门映射表。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审计</w:t>
            </w:r>
          </w:p>
        </w:tc>
        <w:tc>
          <w:tcPr>
            <w:tcW w:type="dxa" w:w="487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访问与导出留痕，只增不改。</w:t>
            </w:r>
          </w:p>
        </w:tc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5.2  主题域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814"/>
        <w:gridCol w:w="7030"/>
      </w:tblGrid>
      <w:tr>
        <w:trPr>
          <w:tblHeader/>
        </w:trPr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主题域</w:t>
            </w:r>
          </w:p>
        </w:tc>
        <w:tc>
          <w:tcPr>
            <w:tcW w:type="dxa" w:w="703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覆盖内容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接警话务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呼入、排队、应答、放弃、坐席状态与工作量、通话过程指标。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警情处置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警情受理、分类、派单、到场、处置、结案的全过程与各环节时长。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资源与勤务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>
              <w:t>坐席与处置单位的在岗、班次、可用资源状态。勤务级别客户现未使用，接口自 CAD 保留为非必选项。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绩效与质量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>
              <w:t>服务水平、响应时长分布、异常事件。复核与质检属 IRMS（RFP 2.3.9.7），不在本系统范围。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系统运行</w:t>
            </w:r>
          </w:p>
        </w:tc>
        <w:tc>
          <w:tcPr>
            <w:tcW w:type="dxa" w:w="703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可用性、接口延迟、数据质量、作业执行情况——即服务水平举证数据。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5.3  缓变维策略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维度按"当时"记录，即缓变维 Type 2。以调度员在三月从 A 班组调至 B 班组为例：一月的警情始终计入 A 班组，因为当时他在 A 班组。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样选择的理由不是技术偏好，而是：若按"当前"记录，去年打印的报表在今年重跑会得出不同的数字。在绩效考核与事后复盘的场景下，报表的公信力比模型的简洁更重要。同样的处理适用于单位改名、辖区调整与警情分类体系变更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代价是维度表需存生效与失效时间，事实关联到当时那一版维度，模型与查询略复杂。</w:t>
      </w:r>
    </w:p>
    <w:p>
      <w:pPr>
        <w:pStyle w:val="Heading2"/>
      </w:pPr>
      <w:r>
        <w:t>5.4  关联键与粒度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CAD 与 ICP 之间存在两侧统一的通话标识，这使从振铃到出警的全过程指标成为可能——这类指标是 911 业务分析中价值最高的部分。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两个建模细节需要在详细设计前用真实数据验证：一是一起警情是否可能关联多个通话（回拨、转接、同一事件多人报警），这决定事实表的粒度是 1 对 1 还是 1 对多；二是非电话渠道产生的警情（自建、巡逻发现）是否没有通话标识，这决定关联的可选性与统计口径中的分母定义。两者列入第 14 章。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所有事实表带 dim_site 维度并使用全局唯一主键，为多站扩展预留（第 13 章）。</w:t>
      </w:r>
    </w:p>
    <w:p>
      <w:pPr>
        <w:pStyle w:val="Heading2"/>
      </w:pPr>
      <w:r>
        <w:t>5.5  分区、保留与归档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020"/>
        <w:gridCol w:w="1474"/>
        <w:gridCol w:w="1928"/>
        <w:gridCol w:w="4535"/>
      </w:tblGrid>
      <w:tr>
        <w:trPr>
          <w:tblHeader/>
        </w:trPr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分区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在线保留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合同期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压缩存储；不参与查询，仅供重建与举证。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全部历史在线（温层）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在线保留全周期；历史分区可转为压缩存储。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 / 按月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近一年为热层，其余为温层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可从 core 重建，故障时以重建为恢复手段。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按需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可重建；导出快照另行留痕。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audit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按月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与业务数据同期（待确认）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只增不改。</w:t>
            </w:r>
          </w:p>
        </w:tc>
      </w:tr>
      <w:tr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备份：离线五年、扩展离线八年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RFP 2.7.10.4.2 与 2.7.10.4.3 执行，与在线保留解耦。原「业务数据在线保留八年」为对该条的口径误读，已更正。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5.6  AI 数据层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ai 与 mart 平行，都从 core 构建。分开的理由有三条，合并的约束有一条。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消费模式不同。主题层是"指标乘维度"的聚合切片，面向固定报表；AI 宽表是"一实体一行、字段极宽"，面向点查与全表批量扫描导出。两者的建模取向相反。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演进节奏不同。报表口径变更须走口径评审，AI 特征增删是常态。把特征表放进主题层，等于让特征迭代去挤报表的变更窗口。</w:t>
      </w:r>
    </w:p>
    <w:p>
      <w:pPr>
        <w:pStyle w:val="ListNumber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权限与审计等级不同。AI 会用到警情描述原文、处置记录、位置以及关联的照片与录音，敏感度高于任何一张报表，须独立的权限域与审计口径。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唯一的合并约束是：ai 只能从 core 构建，不允许自行从 raw 另起加工链。否则同一个"上季度警情数"会出现两个数字，而且是我方内部制造的分裂。</w:t>
      </w:r>
    </w:p>
    <w:p>
      <w:pPr>
        <w:pStyle w:val="Heading2"/>
      </w:pPr>
      <w:r>
        <w:t>5.7  数据库副本与模型文档交付物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1.6.2.32 要求向 MOI 交付关系型数据库格式的完整库副本（非加密），并附字段、表、视图、过滤器与报表的定义与说明、数据字典与数据模型，全部以 Microsoft Office 格式提供。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本设计的实现方式是：数据字典与数据模型由库结构自动生成、由人工补充业务含义，随每次版本发布同步更新，而不是在交付前突击编写。本方为定制开发且基于开源组件，不存在 OEM 对库结构与内容的限制，因此该条对我方而言是优势项而非负担。</w:t>
      </w:r>
    </w:p>
    <w:p>
      <w:pPr>
        <w:spacing w:before="0" w:after="80"/>
      </w:pPr>
    </w:p>
    <w:p>
      <w:pPr>
        <w:pStyle w:val="Heading2"/>
      </w:pPr>
      <w:r>
        <w:t>5.8  AI 数据层的定位说明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本系统负责把数据做成 AI 就绪：稳定的实体主键、清晰的时间语义、干净的文本、可靠的媒体关联、标准格式导出。AI 模型本身不在本范围内。若 AI 侧将来需要向量检索或列存引擎等专用能力，通过第 7.6 节的导出接口取数，不改变本系统的架构，也不进入本系统的数据库。</w:t>
      </w:r>
    </w:p>
    <w:p>
      <w:r>
        <w:br w:type="page"/>
      </w:r>
    </w:p>
    <w:p>
      <w:pPr>
        <w:pStyle w:val="Heading1"/>
      </w:pPr>
      <w:r>
        <w:t>6  指标与口径</w:t>
      </w:r>
    </w:p>
    <w:p>
      <w:pPr>
        <w:pStyle w:val="Heading2"/>
      </w:pPr>
      <w:r>
        <w:t>6.1  语义层与指标注册表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指标的定义、口径说明、维度、粒度与权威来源集中在指标注册表中，由语义与指标服务提供，是全项目指标定义的唯一事实来源。任何界面、报表或对外接口取用指标，都经由该服务解析，不允许在展现层各自写死计算逻辑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指挥大屏由本系统交付，不再存在第二块由其他供应商交付、独立计算同类指标的屏幕，因此指标权威在结构上成立，而不依赖协议约定。对外数据服务（IF-33）为必须交付项而非预留能力（见 7.7）；AI 包经 IF-38 取用语义目录与结构化查询，是已明确的消费方，其自然语言助手不得自行生成 SQL，以免在联合体内部制造第二套口径。</w:t>
      </w:r>
    </w:p>
    <w:p>
      <w:pPr>
        <w:pStyle w:val="Heading2"/>
      </w:pPr>
      <w:r>
        <w:t>6.2  三级数据新鲜度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系统有三条数据路径，延迟不同，权威性也不同。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475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6-1-Freshness-and-Day-clo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4755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6-1  Data Freshness Tiers and the Day-close Rule   数据新鲜度分级与日切规则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1361"/>
        <w:gridCol w:w="3061"/>
        <w:gridCol w:w="3175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路径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延迟</w:t>
            </w:r>
          </w:p>
        </w:tc>
        <w:tc>
          <w:tcPr>
            <w:tcW w:type="dxa" w:w="30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数据来源</w:t>
            </w:r>
          </w:p>
        </w:tc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权威性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实时状态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至 10 秒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直接轮询 ICP 与 DS 展示库，内存维护，不落库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指示性。不用于统计，不作为考核依据。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准实时聚合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 分钟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按日桶重算当日分区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当日临时值，标注为未封账。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批量统计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小时 / 每日</w:t>
            </w:r>
          </w:p>
        </w:tc>
        <w:tc>
          <w:tcPr>
            <w:tcW w:type="dxa" w:w="30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完整模型构建，日切封账</w:t>
            </w:r>
          </w:p>
        </w:tc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权威值。报表与对外数据以此为准。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6.3  日切、封账与修正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按沙特时间（UTC+3）公历日切，每日以 00:00 AST 为界。dim_date 同时携带回历日期字段，以备朝觐相关分析与 MOI 内部习惯使用，成本接近于零。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日结在次日固定时刻封账并标记版本号。封账后到达的变更不修改历史快照，而是进入修正表并标记为下一版本，报表上体现为"含修正"。这条规则的目的只有一个：明年重印的报表与今天打印的一致。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封账机制同时是 RFP 1.6.2.4 中"实时数据为当日、历史数据为当日之前"的实现方式。</w:t>
      </w:r>
    </w:p>
    <w:p>
      <w:pPr>
        <w:pStyle w:val="Heading2"/>
      </w:pPr>
      <w:r>
        <w:t>6.4  实时口径与统计口径的对账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大屏上的数字与日结报表的数字必然不完全一致。这不是缺陷，而是两条路径的固有差异：前者是每隔数秒对另一系统的一次采样，后者是封账后经过完整清洗与对账的结果。本设计的立场是把这个差异写明，而不是让使用者自行发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3855"/>
        <w:gridCol w:w="3288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差异来源</w:t>
            </w:r>
          </w:p>
        </w:tc>
        <w:tc>
          <w:tcPr>
            <w:tcW w:type="dxa" w:w="385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  <w:tc>
          <w:tcPr>
            <w:tcW w:type="dxa" w:w="328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采样间隔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实时路径按轮询周期采样，两次采样之间的状态变化不可见。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在界面标注数据时点；状态时长类指标标注测量方式。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迟到与修正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封账前后到达的更新会改变统计值，但不会改变已推送的实时值。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统计侧以版本号区分；实时侧不追溯。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清洗规则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实时路径不做去重与软删除处理，统计路径做。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差异纳入每日对账报告，超过阈值时告警。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来源系统自身口径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无第二技术通道，只能与话务平台自身报表比对。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每日自动比对总量类指标，差异记录并留痕。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6.5  指标成熟度标记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查询 API 的每一次响应携带四个元字段：口径版本、数据时点、封账状态（未封账 / 已封账 / 含修正）、是否依赖未验证映射。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四个字段使我方给出的数字成为可以在会议上被辩护的数字：数值到达时同时带着产生它的规则，以及它有多确定。报表上体现为一行脚注。约束只有一条：未验证的映射可以进入探索性分析，不能不带标记地进入对外发布的指标。</w:t>
      </w:r>
    </w:p>
    <w:p>
      <w:r>
        <w:br w:type="page"/>
      </w:r>
    </w:p>
    <w:p>
      <w:pPr>
        <w:pStyle w:val="Heading1"/>
      </w:pPr>
      <w:r>
        <w:t>7  服务与接口</w:t>
      </w:r>
    </w:p>
    <w:p>
      <w:pPr>
        <w:pStyle w:val="Heading2"/>
      </w:pPr>
      <w:r>
        <w:t>7.1  两条数据出口路径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数据离开系统只有两条路径：同步的查询路径与异步的实时推送路径。两者使用不同的组件，承载不同的保证。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22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7-1-Query-and-Realtime-Pa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22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7-1  Query Path and Realtime Push Path   查询路径与实时推送路径</w:t>
      </w:r>
    </w:p>
    <w:p>
      <w:pPr>
        <w:pStyle w:val="Heading2"/>
      </w:pPr>
      <w:r>
        <w:t>7.2  查询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查询语义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按指标、维度组合、过滤条件、时间范围与时间粒度查询；指标定义由语义层解析为 SQL。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执行位置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一律在分析副本执行，只读；任何情况下不触碰主库。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保护措施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并发限流、结果集上限、查询超时、结果缓存（按指标与参数指纹）。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响应元字段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口径版本、数据时点、封账状态、是否依赖未验证映射。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权限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>
              <w:t>由身份与授权组件解析角色。两级数据权限下推：字段级可见性矩阵（服务端裁列）与行级部门过滤（调度员与主管按派驻部门，接警员与管理员不受限），本期均启用（10.2 · 10.3）。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性能目标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三档分层承诺。实时推送路径（大屏与实时看板）2 至 10 秒刷新、标注指示性，不适用亚秒要求；快速查询路径（近一年，mart 预聚合与缓存覆盖）端到端 95% 亚秒、峰值 99% 低于 2 秒，服务端目标 400 至 500 毫秒；历史查询路径（一年以上）允许秒级，超阈值转异步，界面明确提示。响应时间按 RFP 1.6.7.2 的定义测量（含前端渲染）。历史查询走独立低优先级配额，不得拖慢快速路径。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7.3  实时推送网关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实时状态服务以独立连接池短周期拉取源系统的当前状态，在内存中维护"此刻"视图并计算变化量，经 WebSocket 网关按角色过滤后推送。两个实例之间通过 PostgreSQL 的 LISTEN / NOTIFY 保持一致，不为此引入新的中间件。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客户端保存收到的最后一个序号。重连时提交该序号，网关回送一份完整的状态快照，而不是补发期间的全部事件。这样，一块中断两小时的大屏在一次往返后即恢复正确，无需人工干预。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这条路径为什么不写数据库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实时状态是对另一个系统的观测，不是本系统自己的记录。把它落库会制造出同一批事实的第二个版本——更快，但更不可靠——而所有关于"哪个数字是对的"的争论都会从这里开始。因此它只存在于内存中，随进程结束而消失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7.4  报表渲染与分发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1.6.2.25 规定在各子系统预置报表之外，为每个 OSS911 中心定义并实现四十张自定义报表。本期范围为麦加一个中心，因此交付四十张。这是硬数量，为交付量下限；逐张的口径、参数与版式见交接包 HD-05。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需要在设计阶段书面澄清的一点是：RFP 1.6.2.18 与 1.6.2.28 另要求复刻现有麦加 911 中心的报表。本设计按"复刻项包含在四十张之内"编制，若 MOI 认为应另行计数，交付量将显著增加。此项列入第 14 章。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报表按语言各出一份，阿语版与英语版为两套模板，各自单向排版，不做阿英混排。这一决定显著降低了排版复杂度与缺陷风险。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随之而来的一个数据问题需要在实施期解决：报表中的维度取值（警情类别、处置单位、辖区名称）来自 CAD。若 CAD 只存一种语言，则阿语报表中会混入另一种语言的数据。因此需在数据字典阶段确认 CAD 维度表是否具备双语名称字段；若不具备，由我方在 M-10 基础数据维护中维护一张双语对照维度表。此项列入第 14 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PDF、Word、Excel。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执行方式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异步任务，产物落对象存储，通过媒体服务以短时效凭证提供访问。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订阅分发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按计划生成并投递，含失败重试与投递回执。投递通道待确认（见第 14 章）。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模板管理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 M-05 中发布、下架、配置参数与可见范围。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7.5  媒体服务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对象存储不对客户端直接暴露。媒体服务负责鉴权、签发短时效访问凭证、记录访问留痕。现场照片、报表产物与 AI 导出文件均通过该服务访问。</w:t>
      </w:r>
    </w:p>
    <w:p>
      <w:pPr>
        <w:pStyle w:val="Heading2"/>
      </w:pPr>
      <w:r>
        <w:t>7.6  AI 数据服务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能力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宽表查询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实体级宽表的点查与条件查询。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批量导出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 Parquet 或 CSV 落对象存储，供 AI 侧按批次提取。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媒体关联检索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结构化数据与对象存储中媒体对象的关联索引。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配额与审计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导出任务的配额限制、时段限制与完整审计留痕。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执行约束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批量扫描走分析副本、限流、错峰执行（非高峰时段），任何情况下不触碰主库。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若将来 AI 负载增长，扩展一个只读副本即可承载，扩容路径已在架构中预留。</w:t>
      </w:r>
    </w:p>
    <w:p>
      <w:pPr>
        <w:pStyle w:val="Heading2"/>
      </w:pPr>
      <w:r>
        <w:t>7.7  对外数据服务与 ESB 适配器（IF-33，必须交付）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在三处分别要求对外提供数据，因此这不是可选能力，而是必须交付项。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247"/>
        <w:gridCol w:w="3742"/>
        <w:gridCol w:w="3855"/>
      </w:tblGrid>
      <w:tr>
        <w:trPr>
          <w:tblHeader/>
        </w:trPr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条款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385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本设计的实现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1.6.2.29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将主要警情与告警信息及相关数据以 Web 服务形式提供，供其它 OSS911 与 MOI 应用消费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在查询 API 之上开放事件与告警的订阅与查询接口，响应携带与 7.2 相同的四个元字段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1.6.2.31.1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将各系统及相关数据库、数据结构、表、字段与参数以数据服务形式暴露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core 与 mart 的对外可见范围提供数据服务，带鉴权、限流与全程审计；不开放数据库直连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1.6.2.31.2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开发、提供并实施 ESB 所需的适配器，使外部应用能够访问本方数据仓库</w:t>
            </w:r>
          </w:p>
        </w:tc>
        <w:tc>
          <w:tcPr>
            <w:tcW w:type="dxa" w:w="385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ESB 规格实现适配器；接口清单与版本策略文档化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鉴权采用 OAuth2 客户端凭证，路径版本化。响应中的四个元字段（口径版本、数据时点、封账状态、是否依赖未验证映射）同样适用于对外调用方——这既是数据质量的声明，也是本方指标口径的技术表达。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一项不由本方控制的依赖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ESB 由总包商提供。适配器的实现与联调时间取决于 ESB 的规格何时冻结，不由本方控制。该依赖已列入第 14 章，需在联合体内尽早明确。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8  用户界面</w:t>
      </w:r>
    </w:p>
    <w:p>
      <w:pPr>
        <w:pStyle w:val="Heading2"/>
      </w:pPr>
      <w:r>
        <w:t>8.1  BI 门户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门户采用自建外壳，Superset 作为后端查询引擎，不直接暴露给用户。这样做多出两到三周工作量，换来的是：界面风格、阿语本地化与权限模型不必迁就第三方产品的约定，并且门户、仪表板、大屏与将来的移动端可以共用同一套视觉与交互体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功能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报表目录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按主题域与角色组织，支持检索。四十张预置报表按五个主题域归类。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参数化查询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时间范围、辖区、单位、勤务级别等参数；结果带元字段脚注。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自助分析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基于语义层的指标与维度组合。默认路径不写 SQL。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受控 SQL 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RFP 1.6.2.15 要求可使用通用 SQL 生成简短报表。本系统提供受控的 SQL 能力：仅授权角色可见、只读、仅在分析副本执行、强制超时与结果集上限、全程审计。这是对"不绕过语义层"的唯一例外，以权限与审计约束，而非以禁止实现。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Excel、CSV、PDF；导出行为写入审计。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订阅管理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自助订阅报表与投递计划。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按受配置的有限条件集检索记录并即时调取（RFP 1.6.2.7）。条件必含时间范围且有跨度上限，结果集有硬上限。返回字段按角色的可见性矩阵裁剪，敏感字段需单独授权并写审计。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8.2  仪表板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二十个预置仪表板加自定义能力（RFP 1.6.2.25），覆盖五个主题域。当日数据显示为未封账状态并附标注，与第 6 章的口径规则一致。仪表板逐个的指标构成与刷新口径见交接包 HD-05。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其中三类需要专门说明：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实时共同作战图（RFP 1.6.2.27.1）：大屏主视图，2 至 10 秒刷新，标注为指示性数据。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热点与聚集区分析（RFP 1.6.5.7.5）：基于位置的警情聚集与热力呈现，算法与阈值在详细设计阶段与业务确认。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客户反馈看板（RFP 1.6.2.17）：将反馈纳入绩效度量；反馈数据的采集方与形态待确认，见第 14 章。</w:t>
      </w:r>
    </w:p>
    <w:p>
      <w:pPr>
        <w:pStyle w:val="Heading2"/>
      </w:pPr>
      <w:r>
        <w:t>8.3  指挥大屏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独立 Web 应用，长连接，无人值守自恢复。设计要点：断线自动重连并以快照方式恢复、渲染异常自动重载、无需操作员干预。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一项来自 POC 的输入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DS 曾提供一块 POC 大屏并已由 MOI 相关人员看过，其数据为写死的样例。该大屏不在交付范围内，本系统交付的大屏取代它。但相关人员的预期已被那个界面锚定，因此本系统大屏在功能覆盖上不应低于它。实施期需逐项核对 POC 界面上的每个元素是否有真实数据源支撑——写死的数字不需要数据源，真实实现需要。该核对清单列入第 14 章。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8.4  移动应用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移动应用本期交付。此前列为后续阶段的理由是内政部专网不具备公网可达性、APNs 与 FCM 推送无法送达；该理由在详细设计阶段被推翻——系统设有 DMZ 区，具备 internet 访问能力与短信、邮件网关，应用可经 MOI 既有 MDM 分发，并通过 DMZ 反向代理访问内网服务层（IF-40）。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实际的处置结论不是恢复设备推送，而是重新界定移动端的定位：它是面向主管与管理员的管理看板，不是接警员与调度员的作业工具。因此不使用 APNs 与 FCM（内政部数据不经第三方服务转发），打开应用后主动拉取；只呈现封账后的聚合指标，不提供记录级下钻、媒体访问与导出，从而把数据分类政策的审批范围控制在统计数据一级；告警经短信与邮件网关送达（7.4 的投递服务），两个网关均由总包商提供，其故障不计入本方服务水平。形态为原生薄壳应用内嵌移动专用布局：共用服务层 API、设计系统与组件库，但布局与桌面门户分为两套，薄壳提供证书固定、设备注册与令牌吊销。移动端链路含公网段，不适用 1.6.7.5 的亚秒承诺，须在服务水平判定口径中单列或排除。按此形态交付，RFP 1.3.2.12.15 获正面响应。</w:t>
      </w:r>
    </w:p>
    <w:p>
      <w:pPr>
        <w:pStyle w:val="Heading2"/>
      </w:pPr>
      <w:r>
        <w:t>8.5  语言与本地化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界面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阿语与英语双语，用户可切换；阿语界面为从右至左布局。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按语言各出一份，不做混排（7.4）。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维度取值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若源系统仅提供单一语言，由 M-10 维护双语对照表（7.4）。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公历为主，dim_date 携带回历字段以备使用（6.3）。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时区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UTC+3。</w:t>
            </w:r>
          </w:p>
        </w:tc>
      </w:tr>
    </w:tbl>
    <w:p>
      <w:pPr>
        <w:spacing w:before="0" w:after="140"/>
      </w:pPr>
    </w:p>
    <w:p>
      <w:r>
        <w:br w:type="page"/>
      </w:r>
    </w:p>
    <w:p>
      <w:pPr>
        <w:pStyle w:val="Heading1"/>
      </w:pPr>
      <w:r>
        <w:t>9  管理与运维</w:t>
      </w:r>
    </w:p>
    <w:p>
      <w:pPr>
        <w:pStyle w:val="Heading2"/>
      </w:pPr>
      <w:r>
        <w:t>9.1  管理界面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管理能力以十一个界面交付，全部是本系统的组成部分，而不是让运维人员去用数据库客户端。设计目标是：运维人员不打开数据库客户端就能回答三个问题——数据是不是最新的、可不可信、谁看过。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22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9-1-Management-Console-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22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9-1  Management Console Function Map   管理界面功能地图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64"/>
        <w:gridCol w:w="1928"/>
        <w:gridCol w:w="6009"/>
      </w:tblGrid>
      <w:tr>
        <w:trPr>
          <w:tblHeader/>
        </w:trPr>
        <w:tc>
          <w:tcPr>
            <w:tcW w:type="dxa" w:w="96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界面</w:t>
            </w:r>
          </w:p>
        </w:tc>
        <w:tc>
          <w:tcPr>
            <w:tcW w:type="dxa" w:w="60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主要能力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M-01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数据源接入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各源水位、最后成功时间、延迟、隔离条数、契约版本；运行参数热调（启停、间隔、批量、限流），带审计。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M-02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作业调度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运行历史、依赖视图、失败重跑、补数、SLA 告警。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M-03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规则结果、隔离区查看与放行或丢弃、待澄清队列（按影响行数与受影响指标排序）、对账差异。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M-04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指标字典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指标定义、口径说明、血缘、变更历史。面向业务读者，只读。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M-05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报表与仪表板管理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发布与下架、参数、按角色的可见性、订阅与分发。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M-06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用户与权限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>
              <w:t>四个角色与 MOI 目录的映射；行级部门过滤的本地映射表维护（AD 就绪前的过渡权威），见 10.3。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M-07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审计查询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谁在何时查询或导出了什么。只增不改。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M-08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运行监控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可用性、复制延迟、查询时延分布、资源水位、告警。服务水平举证数据的存放处。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M-09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备份与恢复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备份状态、可恢复时间点、恢复演练记录。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M-10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基础数据维护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>
              <w:t>代码表、班次时间窗口定义、辖区与单位的本地属性；源系统仅有单语名称时的双语对照维护。不维护排班计划——班次为派生时间带（见 5 章）。</w:t>
            </w:r>
          </w:p>
        </w:tc>
      </w:tr>
      <w:tr>
        <w:tc>
          <w:tcPr>
            <w:tcW w:type="dxa" w:w="96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M-11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数据分类与发现</w:t>
            </w:r>
          </w:p>
        </w:tc>
        <w:tc>
          <w:tcPr>
            <w:tcW w:type="dxa" w:w="60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周期性扫描数据库与对象存储，识别敏感内容；分类标签的人工确认；标签驱动字段可见性默认值与脱敏规则对象清单。使用者为数据治理角色。扫描周期可配置。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9.2  两级配置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3969"/>
        <w:gridCol w:w="3288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328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变更方式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结构性配置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水位线字段、幂等键、目标表、契约版本、模型定义、指标口径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提交与发布流程，可评审、可回滚、可复现历史运行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运行参数</w:t>
            </w:r>
          </w:p>
        </w:tc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启停、调度间隔、批大小、并发、限流阈值、告警阈值</w:t>
            </w:r>
          </w:p>
        </w:tc>
        <w:tc>
          <w:tcPr>
            <w:tcW w:type="dxa" w:w="328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管理界面热调，立即生效，带审计留痕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这样区分的原因是运维现实：凌晨源系统压力升高时需要立即降低轮询频率，这不能等发布窗口；而水位线字段这类规则若能在生产界面上随手更改，事后就无法查清当时使用的是哪一版规则。</w:t>
      </w:r>
    </w:p>
    <w:p>
      <w:pPr>
        <w:pStyle w:val="Heading2"/>
      </w:pPr>
      <w:r>
        <w:t>9.3  监控与告警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监控内容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可用性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数据库集群、服务层各组件、门户与大屏的可达性与响应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数据链路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各数据源的水位延迟、拉取成功率、隔离批次、结构漂移事件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校验失败率、未映射取值占比、跨系统对账差异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作业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DAG 执行时长、失败与重试、SLA 违约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资源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CPU、内存、存储水位、连接数、复制延迟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时延分布（P50 / P95 / P99）、慢查询、超时与限流触发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监控数据独立留存、只增不改，保留期与考核期一致——这既是运维手段，也是第 11.6 节服务水平举证的证据来源。</w:t>
      </w:r>
    </w:p>
    <w:p>
      <w:pPr>
        <w:pStyle w:val="Heading2"/>
      </w:pPr>
      <w:r>
        <w:t>9.4  审计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查询与导出行为写入 audit schema，只增不改。911 数据的敏感度决定了"谁看过什么"必须可回溯。保留期按与业务数据同期（8 年）起草，待 MOI 合规要求确认。</w:t>
      </w:r>
    </w:p>
    <w:p>
      <w:r>
        <w:br w:type="page"/>
      </w:r>
    </w:p>
    <w:p>
      <w:pPr>
        <w:pStyle w:val="Heading1"/>
      </w:pPr>
      <w:r>
        <w:t>10  安全与权限</w:t>
      </w:r>
    </w:p>
    <w:p>
      <w:pPr>
        <w:pStyle w:val="Heading2"/>
      </w:pPr>
      <w:r>
        <w:t>10.1  身份联邦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通过 Keycloak 联邦 MOI 的 AD / LDAP 目录（IF-35），系统不自行保管用户口令。服务层以 OIDC 令牌校验身份，令牌中携带角色声明。</w:t>
      </w:r>
    </w:p>
    <w:p>
      <w:pPr>
        <w:pStyle w:val="Heading2"/>
      </w:pPr>
      <w:r>
        <w:t>10.2  角色模型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本中心的目录中仅有四个与本系统相关的角色。权限模型据此设计为纯角色访问控制。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典型权限范围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与本人相关的话务与警情视图、个人绩效；不按部门过滤（接所有来电）；不含全局绩效与管理界面。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调度员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警情处置相关视图与资源状态；按派驻部门过滤，仅见本部门数据；不含管理界面。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主管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业务报表与仪表板、大屏、班组与人员绩效；按派驻部门过滤；不含系统管理界面。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管理员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>
              <w:t>全部业务视图与管理界面 M-01 至 M-11。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（横切）字段级可见性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四个角色之上另有字段级可见性矩阵（角色 × 字段），在 M-06 配置，服务端裁列。默认取值由 MOI 数据分类政策确定（10.4 的前置门）。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10.3  行级安全（本期启用）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911 中心的调度员来自不同派驻部门，各自只应看到本部门数据；主管同样按部门划分；接警员接所有来电，不按部门过滤；管理员不受限。因此行级安全本期启用，而非此前判断的预留不启用。实现方式是启用已预留的机制：core 层事实表带 dim_site 与处置单位维度，身份与授权组件将部门归属解析为过滤条件下推。部门归属数据以 MOI 目录（AD）为长期权威、以 M-06 的本地映射表为过渡；编码以 CAD 的处置单位编码为准，任一用户映射不到有效编码时拒绝放行并告警，不得静默返回空结果。权限判定按当前部门，调岗后不再可见原部门的历史数据；统计口径仍按 5.3 关联当时的维度版本，两者正交。过滤须在查询 API、记录检索、导出、报表订阅分发、对外数据服务与 MCP 绑定全部生效——订阅分发以系统身份运行，须显式携带订阅人的部门上下文，是最易遗漏的一条。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此处印证了一条设计判断：机制预留的代价很小，而事后追加行级安全需要改动表结构与全部查询，属于重构级别的工作。本次由不启用转为启用，因维度与下推接口已经就位，属策略实现而非重构。另需说明，行级安全解决的是可见哪些行，字段级可见性矩阵（10.2）解决的是可见哪些列，两者不可互相替代。</w:t>
      </w:r>
    </w:p>
    <w:p>
      <w:pPr>
        <w:pStyle w:val="Heading2"/>
      </w:pPr>
      <w:r>
        <w:t>10.4  数据分级与脱敏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数据处理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完整数据，按角色访问，全部访问写审计。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生产数据子集，按数据分级策略脱敏（姓名、电话、精确位置、警情描述原文等）。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匿名化数据集，不含任何可回溯到真实个人或真实警情的内容。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具体的分级与脱敏规则需依据 MOI 的数据分级政策确定，列入第 14 章。在取得政策前，按上表的原则起草规则并标注"待确认"。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两项前置门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RFP 2.7.9.5 规定数据分类政策须经 MOI 批准后，方可在生产与培训环境实施任何数据库；2.7.9.11 规定 DLP 登记册须经 MOI 批准后，方可部署任何数据存储。这两项是关键路径上的里程碑前置条件，不是可以与开发并行推进的文档工作——未获批准，生产环境无法上线。且两者都需要与 MOI 共同制定，不是单向索取，因此启动时间应当早于通常的估计。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10.5  传输与存储保护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所有外部接口使用 TLS；数据库连接使用 TLS；对象存储访问使用 HTTPS。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对象存储不向客户端直接暴露，一律经媒体服务签发短时效凭证访问。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数据库与备份存储启用静态加密（依赖平台能力，见第 14 章）。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服务间调用使用内部网络段，与用户流量、复制流量分离（NW-01）。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任何虚机不具备互联网出向访问（NW-03）。</w:t>
      </w:r>
    </w:p>
    <w:p>
      <w:pPr>
        <w:pStyle w:val="Heading2"/>
      </w:pPr>
      <w:r>
        <w:t>10.6  离线补丁与镜像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系统在无互联网访问的环境中运行（RFP 1.2.1.20）。所有操作系统与软件包通过内网镜像源分发；镜像内容的更新由离线介质导入并留痕。容器镜像同样由内部仓库提供，不从公网拉取。</w:t>
      </w:r>
    </w:p>
    <w:p>
      <w:r>
        <w:br w:type="page"/>
      </w:r>
    </w:p>
    <w:p>
      <w:pPr>
        <w:pStyle w:val="Heading1"/>
      </w:pPr>
      <w:r>
        <w:t>11  高可用与容灾</w:t>
      </w:r>
    </w:p>
    <w:p>
      <w:pPr>
        <w:pStyle w:val="Heading2"/>
      </w:pPr>
      <w:r>
        <w:t>11.1  服务水平目标与推论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RFP 1.5.2.9 规定数据库解决方案为服务等级 1（99.999%），BI、报表与仪表板为服务等级 2（99.99%），且按日考核。按日考核这一点是整个高可用设计的出发点：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1247"/>
        <w:gridCol w:w="1361"/>
        <w:gridCol w:w="4309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服务等级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可用性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每日容差</w:t>
            </w:r>
          </w:p>
        </w:tc>
        <w:tc>
          <w:tcPr>
            <w:tcW w:type="dxa" w:w="43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推论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等级 1（数据库）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99.999%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0.86 秒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任何需要人工介入的切换都不可能达标，必须自动切换；数据库层禁止资源超分。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等级 2（BI 与报表）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99.99%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8.64 秒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服务层各组件必须成对部署并分散在不同主机。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按月考核可以用一次长故障加二十九天正常来抵消，按日考核不能。这决定了本设计中若干看似保守的选择——同步复制、自动切换、禁止超分、禁止自动迁移——并不是保守，而是被考核方式直接推导出来的。</w:t>
      </w:r>
    </w:p>
    <w:p>
      <w:pPr>
        <w:pStyle w:val="Heading2"/>
      </w:pPr>
      <w:r>
        <w:t>11.2  复制策略与故障行为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148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11-1-HA-Topolog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4876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11-1  High Availability Topology and Failure Behaviour   高可用拓扑与故障行为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3402"/>
        <w:gridCol w:w="3515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节点</w:t>
            </w:r>
          </w:p>
        </w:tc>
        <w:tc>
          <w:tcPr>
            <w:tcW w:type="dxa" w:w="340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type="dxa" w:w="351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复制方式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PG-PRIMARY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写入，系统记录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PG-STANDBY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零数据丢失的切换目标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同步复制，RPO = 0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PG-REPLICA</w:t>
            </w:r>
          </w:p>
        </w:tc>
        <w:tc>
          <w:tcPr>
            <w:tcW w:type="dxa" w:w="340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承担全部报表与仪表板查询</w:t>
            </w:r>
          </w:p>
        </w:tc>
        <w:tc>
          <w:tcPr>
            <w:tcW w:type="dxa" w:w="351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异步复制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Patroni 是数据库角色变更的唯一权威。这一点必须在虚拟化平台层面得到配合：虚拟化平台的高可用重启机制不得自行判断并重启数据库虚机。两套独立的故障切换机制作用于同一集群，会切出双主，属于数据损坏级别的事故。</w:t>
      </w:r>
    </w:p>
    <w:p>
      <w:pPr>
        <w:pStyle w:val="Heading2"/>
      </w:pPr>
      <w:r>
        <w:t>11.3  RPO 与 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1928"/>
        <w:gridCol w:w="5216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目标值</w:t>
            </w:r>
          </w:p>
        </w:tc>
        <w:tc>
          <w:tcPr>
            <w:tcW w:type="dxa" w:w="5216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实现方式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主备同步复制，提交在备库落盘后才返回。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RTO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不超过 2 分钟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Patroni 自动检测与提升，应用经 HAProxy 重连，无人工步骤。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报表可用性降级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不中断</w:t>
            </w:r>
          </w:p>
        </w:tc>
        <w:tc>
          <w:tcPr>
            <w:tcW w:type="dxa" w:w="5216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分析副本失效时，报表查询转向同步备库以只读方式服务，性能下降但不停止。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11.4  同步复制的降级决策树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同步复制使每一次提交都等待网络往返与备库落盘。这一选择成立的前提是两项基础设施条件：主备之间往返时延不超过 1 毫秒（NW-02），数据库数据卷的 99 分位写入时延不超过 2 毫秒（ST-03）。若这两项条件在实际环境中无法满足，需要按下表决策，而不是在故障时临时判断。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928"/>
        <w:gridCol w:w="2608"/>
        <w:gridCol w:w="4309"/>
      </w:tblGrid>
      <w:tr>
        <w:trPr>
          <w:tblHeader/>
        </w:trPr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条件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决策</w:t>
            </w:r>
          </w:p>
        </w:tc>
        <w:tc>
          <w:tcPr>
            <w:tcW w:type="dxa" w:w="430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后果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两项条件均满足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维持同步复制（synchronous_commit = on）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 = 0，符合本设计的默认承诺。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时延轻度超标，写入吞吐仍可接受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降为 remote_write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备库收到但未必已落盘；备库主机瞬时掉电时可能丢失极少量已提交事务。须书面记录。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条件明显无法满足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改为异步复制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RPO 不再为 0，须重新协商服务水平承诺。此为需上报的决策，不由实施人员自行决定。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备库故障期间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临时降级，主库继续服务并告警</w:t>
            </w:r>
          </w:p>
        </w:tc>
        <w:tc>
          <w:tcPr>
            <w:tcW w:type="dxa" w:w="430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不允许因备库不可用而阻塞主库写入。备库恢复后自动回到同步状态。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11.5  备份与恢复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项目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设计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备份方式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全量、增量与 WAL 归档，支持任意时间点恢复。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存储介质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独立于数据库数据存储（ST-02）。备份与其所保护的数据共享故障域，不构成备份。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恢复演练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定期演练并在 M-09 中留痕。未经演练的备份不计为有效备份。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对象存储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媒体对象独立备份策略，按容量与重要性分级。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配置与代码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>
              <w:t>开发侧 Git 为唯一权威；生产网内不部署代码仓库。契约、模型、指标定义、DDL 与部署脚本以带校验和的不可变发布制品存入对象存储，meta.release_registry 登记每次发布，历史版本不删除、可回滚，不依赖数据库备份（DD-49）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11.6  服务水平举证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本项目由我方自行举证服务水平达成情况。这可行，但成立的前提是判定口径不能同样由我方单方面决定，否则争议发生时一句"你的测量方法不算数"即可推翻全部数据。因此以下三项须在实施前取得总包商或 MOI 的书面认可。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701"/>
        <w:gridCol w:w="7143"/>
      </w:tblGrid>
      <w:tr>
        <w:trPr>
          <w:tblHeader/>
        </w:trPr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714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需要确认的内容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探测点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从哪一侧发起探测、是否经过对方网络、探测频率。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失败判定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单次失败即计不可用，还是连续 N 次；响应超过多少毫秒计为失败。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数据留存</w:t>
            </w:r>
          </w:p>
        </w:tc>
        <w:tc>
          <w:tcPr>
            <w:tcW w:type="dxa" w:w="714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监控数据独立留存、只增不改、保留期与考核期一致。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一句直白的提醒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没有事先谈定判定口径的自证，等同于没有证据。建议将本节内容整理为接口文件，在实施启动前发给总包商确认。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pStyle w:val="Heading1"/>
      </w:pPr>
      <w:r>
        <w:t>12  部署架构</w:t>
      </w:r>
    </w:p>
    <w:p>
      <w:pPr>
        <w:pStyle w:val="Heading2"/>
      </w:pPr>
      <w:r>
        <w:t>12.1  虚机资源需求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全部虚拟化部署，本项目不采购硬件，仅提出资源与放置要求。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1134"/>
        <w:gridCol w:w="1020"/>
        <w:gridCol w:w="1361"/>
        <w:gridCol w:w="1361"/>
        <w:gridCol w:w="2494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113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虚机数</w:t>
            </w:r>
          </w:p>
        </w:tc>
        <w:tc>
          <w:tcPr>
            <w:tcW w:type="dxa" w:w="102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vCPU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内存 (GB)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存储 (TB)</w:t>
            </w:r>
          </w:p>
        </w:tc>
        <w:tc>
          <w:tcPr>
            <w:tcW w:type="dxa" w:w="249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572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47.4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完整高可用，承载 1.5.2.9 的服务等级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系统集成测试、验收测试与发布验证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0.9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按角色培训（RFP 1.7）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13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02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182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716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51.8</w:t>
            </w:r>
          </w:p>
        </w:tc>
        <w:tc>
          <w:tcPr>
            <w:tcW w:type="dxa" w:w="249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不含对象存储的增长余量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45309"/>
          <w:left w:val="single" w:sz="4" w:space="0" w:color="B45309"/>
          <w:bottom w:val="single" w:sz="4" w:space="0" w:color="B45309"/>
          <w:right w:val="single" w:sz="4" w:space="0" w:color="B45309"/>
          <w:insideH w:val="single" w:sz="4" w:space="0" w:color="B45309"/>
          <w:insideV w:val="single" w:sz="4" w:space="0" w:color="B45309"/>
        </w:tblBorders>
      </w:tblPr>
      <w:tblGrid>
        <w:gridCol w:w="9298"/>
      </w:tblGrid>
      <w:tr>
        <w:tc>
          <w:tcPr>
            <w:tcW w:type="dxa" w:w="9298"/>
            <w:shd w:val="clear" w:fill="FDF4E7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45309"/>
                <w:sz w:val="20"/>
              </w:rPr>
              <w:t>对象存储容量存在五倍差异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现场媒体的真实比例、张数以及是否含视频，需由业务方确认（第 14 章 D-01）。</w:t>
            </w:r>
          </w:p>
        </w:tc>
      </w:tr>
    </w:tbl>
    <w:p>
      <w:pPr>
        <w:spacing w:before="0" w:after="160"/>
      </w:pPr>
    </w:p>
    <w:p>
      <w:pPr>
        <w:pStyle w:val="Heading2"/>
      </w:pPr>
      <w:r>
        <w:t>12.2  放置与隔离要求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虚机规格本身不产生可用性。主机与存储的隔离方式决定服务等级能否达成。以下要求是本设计的可靠性基础，构成对基础设施提供方的输入。</w:t>
      </w:r>
    </w:p>
    <w:p>
      <w:pPr>
        <w:keepLines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148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D-Fig12-1-Placement-and-Iso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4876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rFonts w:ascii="微软雅黑" w:hAnsi="微软雅黑" w:eastAsia="微软雅黑"/>
          <w:b w:val="0"/>
          <w:color w:val="4B5563"/>
          <w:sz w:val="17"/>
        </w:rPr>
        <w:t>图 12-1  Physical Placement and Storage Isolation   物理放置与存储隔离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907"/>
        <w:gridCol w:w="6463"/>
        <w:gridCol w:w="1474"/>
      </w:tblGrid>
      <w:tr>
        <w:trPr>
          <w:tblHeader/>
        </w:trPr>
        <w:tc>
          <w:tcPr>
            <w:tcW w:type="dxa" w:w="90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6463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关键级别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三台 PostgreSQL 虚机分别位于三台不同的物理主机，任何时刻不得两台同宿。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三个 etcd 成员位于三台不同物理主机。仲裁丢失将使自动切换失效。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每一对高可用组件（LB、APP、RT、ETL、IAM、MON）至少跨两台物理主机。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PL-04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三个对象存储节点位于三台不同物理主机。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PL-05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上述分组跨至少两个机架，机架具备独立供电与独立接入交换。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主库与同步备库的数据卷位于不同的物理存储；至少不同控制器与不同 LUN。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备份仓库位于独立于数据库数据存储的介质。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数据库数据卷厚置备并保证 IOPS，99 分位写入时延不超过 2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承载数据库与 etcd 的主机不得超分 CPU 与内存；内存 100% 预留，禁用气球与交换。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上述主机的 CPU 就绪时间保持在 5% 以下。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禁用数据库虚机的自动在线迁移；迁移须人工计划执行。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不对数据库虚机做平台级定期快照。平台快照也不是有效的数据库备份。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平台高可用重启机制不得与 Patroni 竞争；Patroni 为角色变更的唯一权威。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OP-04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全部虚机与 CAD、话务平台使用同一时钟源，漂移不超过 50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NW-01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复制流量、应用流量与管理流量使用独立网络段。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NW-02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主库与同步备库之间往返时延不超过 1 毫秒。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关键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NW-03</w:t>
            </w:r>
          </w:p>
        </w:tc>
        <w:tc>
          <w:tcPr>
            <w:tcW w:type="dxa" w:w="6463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任何虚机不具备互联网出向访问；补丁经内网镜像源分发。</w:t>
            </w:r>
          </w:p>
        </w:tc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</w:tbl>
    <w:p>
      <w:pPr>
        <w:spacing w:before="0" w:after="1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ST-01 是最常被遗漏的一条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仅做主机反亲和是不充分的保护：两台虚机分散在两台主机上，而虚拟磁盘却由同一个 LUN 切出，存储侧一旦故障两台同时失效，同步复制反而使业务完全停止。这一条必须逐项落实到存储映射表。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另有一项限制需要明确说明：在只有两个机架的条件下，总有一个机架承载三个 etcd 成员中的两个。该机架整体失效时数据库仍可服务，但自动切换失效，需人工提升。要在机架整体失效时仍保持自动切换，需要第三个机架或异地仲裁节点。这是仲裁机制的固有约束，配置调整无法规避。</w:t>
      </w:r>
    </w:p>
    <w:p>
      <w:pPr>
        <w:pStyle w:val="Heading2"/>
      </w:pPr>
      <w:r>
        <w:t>12.3  三套环境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474"/>
        <w:gridCol w:w="4195"/>
        <w:gridCol w:w="1247"/>
        <w:gridCol w:w="1928"/>
      </w:tblGrid>
      <w:tr>
        <w:trPr>
          <w:tblHeader/>
        </w:trPr>
        <w:tc>
          <w:tcPr>
            <w:tcW w:type="dxa" w:w="147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419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高可用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数据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业务运行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完整数据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系统集成测试、性能演练、发布验证（RFP 1.6.9）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不要求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脱敏子集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419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按角色培训（RFP 1.7）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不要求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匿名化数据集</w:t>
            </w:r>
          </w:p>
        </w:tc>
      </w:tr>
    </w:tbl>
    <w:p>
      <w:pPr>
        <w:spacing w:before="0" w:after="140"/>
      </w:pPr>
    </w:p>
    <w:p>
      <w:pPr>
        <w:pStyle w:val="Heading2"/>
      </w:pPr>
      <w:r>
        <w:t>12.4  发布流程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全部配置、模型与部署脚本在开发侧由 Git 管理；生产网内不部署代码仓库，以带版本号与校验和的不可变发布制品导入并登记于 meta.release_registry。环境差异以参数区分，不维护多套脚本（DD-49）。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部署使用 Ansible 与容器运行时，镜像来自内部仓库。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发布路径为测试至培训至生产，每一级须通过既定的验证项。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生产发布须有回滚方案与回滚演练记录。</w:t>
      </w:r>
    </w:p>
    <w:p>
      <w:pPr>
        <w:pStyle w:val="ListBullet"/>
        <w:spacing w:after="40" w:line="307" w:lineRule="auto"/>
      </w:pPr>
      <w:r>
        <w:rPr>
          <w:rFonts w:ascii="微软雅黑" w:hAnsi="微软雅黑" w:eastAsia="微软雅黑"/>
          <w:b w:val="0"/>
          <w:sz w:val="21"/>
        </w:rPr>
        <w:t>运行参数的热调不走发布流程，但写入审计（9.2）。</w:t>
      </w:r>
    </w:p>
    <w:p>
      <w:r>
        <w:br w:type="page"/>
      </w:r>
    </w:p>
    <w:p>
      <w:pPr>
        <w:pStyle w:val="Heading1"/>
      </w:pPr>
      <w:r>
        <w:t>13  多站演进预留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麦地那为独立合同，不在本次交付范围内。但若将来形成双中心互备，事后改造的代价远高于现在预留。本设计包含四项预留，均为低成本项。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1587"/>
        <w:gridCol w:w="3742"/>
        <w:gridCol w:w="1814"/>
        <w:gridCol w:w="1928"/>
      </w:tblGrid>
      <w:tr>
        <w:trPr>
          <w:tblHeader/>
        </w:trPr>
        <w:tc>
          <w:tcPr>
            <w:tcW w:type="dxa" w:w="158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预留项</w:t>
            </w:r>
          </w:p>
        </w:tc>
        <w:tc>
          <w:tcPr>
            <w:tcW w:type="dxa" w:w="3742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type="dxa" w:w="1814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现在的成本</w:t>
            </w:r>
          </w:p>
        </w:tc>
        <w:tc>
          <w:tcPr>
            <w:tcW w:type="dxa" w:w="192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事后追加的成本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站点维度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所有事实表与关键维度带 dim_site；报表与指标均可按站点过滤或汇总。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增加一个维度字段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改表结构与全部模型、报表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全局唯一主键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主键在全局范围内唯一，不依赖单站自增序列。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主键生成策略的一次选择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数据合并时的主键冲突处理，代价极高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接入契约与位点语义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事件契约与位点语义已定义，新增站点的数据源只是注册表中的新条目。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已包含在第 4 章设计中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重做接入框架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参数化部署</w:t>
            </w:r>
          </w:p>
        </w:tc>
        <w:tc>
          <w:tcPr>
            <w:tcW w:type="dxa" w:w="3742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部署脚本以参数区分站点，不维护多套脚本。</w:t>
            </w:r>
          </w:p>
        </w:tc>
        <w:tc>
          <w:tcPr>
            <w:tcW w:type="dxa" w:w="1814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部署脚本的一次规范</w:t>
            </w:r>
          </w:p>
        </w:tc>
        <w:tc>
          <w:tcPr>
            <w:tcW w:type="dxa" w:w="192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维护多套脚本并长期分叉</w:t>
            </w:r>
          </w:p>
        </w:tc>
      </w:tr>
    </w:tbl>
    <w:p>
      <w:pPr>
        <w:spacing w:before="0" w:after="140"/>
      </w:pP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需要说明的是，本次不实现跨站复制、不实现跨站故障切换、不承诺双中心的服务水平。预留的含义是"届时可以扩展"，不是"已经具备"。</w:t>
      </w:r>
    </w:p>
    <w:p>
      <w:r>
        <w:br w:type="page"/>
      </w:r>
    </w:p>
    <w:p>
      <w:pPr>
        <w:pStyle w:val="Heading1"/>
      </w:pPr>
      <w:r>
        <w:t>14  待定项登记表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下列事项在本版定稿时尚未取得答复。相关章节按建议值撰写并标注"待确认"，不构成承诺。本表是项目管理的抓手：每一项有明确的责任方与所需答复内容，未获答复所造成的影响在此白纸黑字记录。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编号说明：T-29 为编号空缺，没有对应事项——在增补 T-30 及其后各条时跳号所致。编号一经发出即不再变动，正文与各册中已有的引用因此保持稳定；空缺在此记明，不再补填。</w:t>
      </w:r>
    </w:p>
    <w:p>
      <w:pPr>
        <w:spacing w:before="0" w:after="80"/>
      </w:pPr>
      <w:r>
        <w:rPr>
          <w:rFonts w:ascii="微软雅黑" w:hAnsi="微软雅黑" w:eastAsia="微软雅黑"/>
          <w:b w:val="0"/>
          <w:color w:val="4B5563"/>
          <w:sz w:val="20"/>
        </w:rPr>
        <w:t>本表是摘要。完整的假设与信息需求登记见交接包 HD-03，其中列有 28 条假设（含依据与推翻后果）与 36 项待收集信息（含向谁收集与建议问法）。两份文件的编号可相互对照：本表的 T 编号对应 HD-03 的 AS 与 IR 编号。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850"/>
        <w:gridCol w:w="1701"/>
        <w:gridCol w:w="2608"/>
        <w:gridCol w:w="1361"/>
        <w:gridCol w:w="2608"/>
      </w:tblGrid>
      <w:tr>
        <w:trPr>
          <w:tblHeader/>
        </w:trPr>
        <w:tc>
          <w:tcPr>
            <w:tcW w:type="dxa" w:w="850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170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需要的答复</w:t>
            </w:r>
          </w:p>
        </w:tc>
        <w:tc>
          <w:tcPr>
            <w:tcW w:type="dxa" w:w="1361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责任方</w:t>
            </w:r>
          </w:p>
        </w:tc>
        <w:tc>
          <w:tcPr>
            <w:tcW w:type="dxa" w:w="2608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未解决的影响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数据字典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在范围内的表与列清单、业务含义，以及代码与枚举字段的取值含义。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语义映射进度不可预测；第一批核心字段的 2 至 3 周估算不成立。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水位线机制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水位线字段；是否存在单调递增序号；物理删除与原地更新的表达方式（有无软删除标记、更新是否必定变更时间戳）；能否提供逻辑复制及展示库 PostgreSQL 版本；是否存在整表重载式的 ETL 刷新。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只有时间戳时须加回看窗口兜底；无软删除表达则历史统计与 CAD 自身长期不一致且无法解释，须以滚动窗口校验补偿。逻辑复制作为备选正式提出，DS 拒绝亦需留书面记录（4.3 · DD-61 · 对应 IR-02）。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 可重放窗口与结构变更通知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展示库保留多少天可重放；结构变更的通知承诺。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重放窗口不足将限制口径修正的追溯范围。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ICP 接口文档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是否提供历史事件接口；限流、分页与鉴权方式。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ICP / 华为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决定坐席状态时长类指标的精度上限（见 4.6.3）；无文档则该类指标不宜承诺精度。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警情与通话的关联基数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一起警情是否可能关联多个通话；非电话渠道警情是否无通话标识。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我方验证 + DS 确认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决定事实表粒度与全过程指标的分母定义。可用真实数据验证，不阻塞设计。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维度是否双语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警情类别、单位、辖区等维度是否具备双语名称字段。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若无，需我方维护双语对照表，属于新增工作量（7.4）。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归档库迁移范围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历史数据起始年份；迁移后的对账口径与验收报表。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实施阶段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不影响设计，只影响容量估算与实施排期（4.6.1）。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服务水平判定口径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探测点、失败判定标准、监控数据留存要求。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 / 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未事先认可则自证无效（11.6）。建议实施启动前完成。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T-09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现场媒体容量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MDS 与 E-Assist 携带媒体的警情占比、张数、大小，是否含视频。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业务方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对象存储容量在 10 TB 与 50 TB 之间相差五倍（12.1）。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数据分级与脱敏政策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的数据分级政策与脱敏要求。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测试与培训环境的数据准备规则无法定稿（10.4）。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审计保留期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审计留痕的合规保留年限。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按 8 年起草。若要求更长，影响 audit 分区与存储估算（9.4）。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报表投递通道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现有的邮件或文件投递方式。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订阅分发的实现方式待定（7.4）。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时钟源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 CAD、话务平台共用的 NTP 源。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无共同时钟则跨系统事件时序与秒级服务水平测量无法互相印证（OP-04）。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放置与隔离要求的可满足性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虚拟化平台能否满足第 12.2 节的十七条要求；数据库层可用的存储等级与保证性能。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基础设施提供方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任何一条不能满足，须重新评估相应的服务水平承诺，而不是调整设计（11.6）。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静态加密能力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平台是否提供数据库与备份存储的静态加密。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基础设施提供方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影响 10.5 的实现方式。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大屏功能对照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POC 大屏各元素是否均有真实数据源支撑。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我方核对 + DS 确认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预期已被 POC 锚定，功能覆盖低于它会被视为倒退（8.3）。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移动端推送路径（已消解）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无须再答。系统设有 DMZ 区与短信、邮件网关，移动端本期按只读聚合看板交付，不使用设备推送。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已消解，见 8.4 与交接包 AS-09。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四十张报表与"复刻现有报表"的关系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两者是同一批，还是复刻项另行计数。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MOI（建议经 Q&amp;A）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直接决定交付量。按另计理解，报表交付量可能接近翻倍（7.4）。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T-19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数据分类政策与 DLP 登记册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与 MOI 共同制定并取得批准。两者均为生产上线的前置条件。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关键路径前置门。未获批准，生产与培训环境的数据库无法上线（10.4）。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ESB 的提供方与规格冻结时间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ESB 由谁提供，接口规格何时冻结。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1.6.2.31.2 要求的适配器交付时间取决于此，不由本方控制（7.7）。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迁移方案的提交期限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2.7.7.3 规定合同授予后两个月内提交分步迁移方案。需确认起算时点与提交对象。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项目管理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硬期限，且依赖对现有环境的分析已完成。应作为项目计划的固定里程碑（4.6.1）。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客户反馈数据的采集方与形态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反馈由谁采集、以何种形式提供给本系统。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RFP 1.6.2.17 要求将反馈纳入 BI。若采集也属本方范围，属新增工作量（3.3 · 8.2）。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维度是否具备双语名称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警情类别、单位、辖区等维度是否有阿英双语字段。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若无，需本方维护双语对照表，属新增工作量（7.4）。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T-24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MDM 分发与 DMZ 接入规范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MDM 的应用分发方式与签名要求；DMZ 反向代理的接入规范与可用端口；DMZ 至内网服务层的防火墙策略申请流程。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移动端（IF-40）无法进入联调与上线（8.4 · 对应 IR-37）。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T-25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迁移范围内日志类数据的量级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现有系统 system logs 与 access logs 自 2016 年起的记录数与容量。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同时影响容量估算、迁移排期，以及是否需要引入列存加速层（2.3 · 4.6.1 · 对应 IR-38）。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T-26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目录增设部门组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AD 能否为调度员与主管增设部门组，以及可用时间表。当前目录仅有 call taker 与 dispatcher 两类角色。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行级安全的长期权威来源。AD 就绪前以 M-06 本地映射表过渡，交付不阻塞（10.3 · 对应 IR-39）。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T-27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部门归属名册与编码对应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在岗调度员与主管的部门归属名册，及其与 CAD 处置单位编码的对应关系。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MOI 业务 + DS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行级过滤的初始数据。编码不一致时过滤结果为空而非报错，属最难发现的一类缺陷（10.3 · 对应 IR-40）。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T-28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CAD 对外部信息的落库形态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报警人位置是坐标还是地址文本、是否含精度与来源标记；人员与车辆是派单快照还是带时间序列的状态记录；外部查询结果是否全部持久化。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DS（并入数据字典）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决定空间分析与资源类指标能否交付：位置若仅为地址文本需地理编码；资源若仅有派单快照则资源可用率无法计算（4.6.2 · 8.2 · 对应 IR-41）。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>
              <w:t>T-30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>
              <w:t>归档时间字段是否含时区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归档库时间字段的实际类型：datetimeoffset（含时区偏移）、datetime 或 datetime2（不含）。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>
              <w:t>DS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决定 REQ-MIG-08「保留原始时区」的应答方式。若源端为无时区类型，则原始时区信息在源端即不存在，任何投标人都无法迁出，本方按 DD-60 在迁移方案中如实表述并主动经 Q&amp;A 向 MOI 提出（4.6.1 · 对应 IR-42）。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>
              <w:t>T-31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>
              <w:t>归档库的物理形态与升级记录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归档为单库原地升级还是多代表集并存；是否留存 DDL 变更记录、发布说明或升级工单（不完整亦可）；历次升级的大致时点。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>
              <w:t>DS / 现有运维方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决定 raw 层物理落法（DD-58）。升级记录哪怕只有片段，也能把 schema 版本边界的反推从纯统计推断降为「推断 + 已知锚点」，可靠性差别很大（4.6.1 · 对应 IR-43）。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>
              <w:t>T-32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>
              <w:t>移动端并发规模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移动端注册用户数、峰值并发会话数、是否经移动路径下载大附件。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>
              <w:t>MOI / 总包商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决定 DMZ 两台接入代理（各 4 vCPU、8 GB）是否够用。只影响这一对代理，不影响其它虚机；但扩容需总包商在 DMZ 内追加虚机，不是本方可自行解决的事。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83" w:lineRule="auto"/>
            </w:pPr>
            <w:r>
              <w:t>T-33</w:t>
            </w:r>
          </w:p>
        </w:tc>
        <w:tc>
          <w:tcPr>
            <w:tcW w:type="dxa" w:w="1701"/>
          </w:tcPr>
          <w:p>
            <w:pPr>
              <w:spacing w:after="40" w:before="40" w:line="283" w:lineRule="auto"/>
            </w:pPr>
            <w:r>
              <w:t>DMZ 侧平台供给与移动应用管理归属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确认 WAF、DDoS 防护、公网域名与 TLS 证书由平台提供；确认移动应用管理（MDM、应用分发、设备合规）由 MOI 既有平台承担。</w:t>
            </w:r>
          </w:p>
        </w:tc>
        <w:tc>
          <w:tcPr>
            <w:tcW w:type="dxa" w:w="1361"/>
          </w:tcPr>
          <w:p>
            <w:pPr>
              <w:spacing w:after="40" w:before="40" w:line="283" w:lineRule="auto"/>
            </w:pPr>
            <w:r>
              <w:t>总包商 / MOI</w:t>
            </w:r>
          </w:p>
        </w:tc>
        <w:tc>
          <w:tcPr>
            <w:tcW w:type="dxa" w:w="2608"/>
          </w:tcPr>
          <w:p>
            <w:pPr>
              <w:spacing w:after="40" w:before="40" w:line="283" w:lineRule="auto"/>
            </w:pPr>
            <w:r>
              <w:t>两项均按「不在本方范围」计入资源与报价（CN-37）。若实际需由本方承担，虚机数量与交付范围须重新评估。</w:t>
            </w:r>
          </w:p>
        </w:tc>
      </w:tr>
    </w:tbl>
    <w:p>
      <w:pPr>
        <w:spacing w:before="0" w:after="140"/>
      </w:pPr>
    </w:p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D4ED8"/>
          <w:left w:val="single" w:sz="4" w:space="0" w:color="1D4ED8"/>
          <w:bottom w:val="single" w:sz="4" w:space="0" w:color="1D4ED8"/>
          <w:right w:val="single" w:sz="4" w:space="0" w:color="1D4ED8"/>
          <w:insideH w:val="single" w:sz="4" w:space="0" w:color="1D4ED8"/>
          <w:insideV w:val="single" w:sz="4" w:space="0" w:color="1D4ED8"/>
        </w:tblBorders>
      </w:tblPr>
      <w:tblGrid>
        <w:gridCol w:w="9298"/>
      </w:tblGrid>
      <w:tr>
        <w:tc>
          <w:tcPr>
            <w:tcW w:type="dxa" w:w="9298"/>
            <w:shd w:val="clear" w:fill="F1F5F9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1D4ED8"/>
                <w:sz w:val="20"/>
              </w:rPr>
              <w:t>关于本表的用法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本表不是免责声明，而是进度管理工具。第 4 章的接入框架经过专门设计，使 T-01 至 T-03 的答复最终只是接入契约中若干字段的取值，因此这些事项不阻塞设计定稿与开发启动。真正需要尽早推动的有四项：T-08（服务水平判定口径）与 T-14（放置与隔离要求），因为它们的答复可能改变的是承诺本身而不是实现方式；以及 T-18（报表数量的解读）与 T-19（两项前置门），前者直接决定交付量，后者是生产上线的关卡。</w:t>
            </w:r>
          </w:p>
        </w:tc>
      </w:tr>
    </w:tbl>
    <w:p>
      <w:pPr>
        <w:spacing w:before="0" w:after="160"/>
      </w:pPr>
    </w:p>
    <w:p>
      <w:pPr>
        <w:spacing w:before="0" w:after="320"/>
      </w:pP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— 本文件结束 —</w:t>
      </w:r>
    </w:p>
    <w:sectPr w:rsidR="00FC693F" w:rsidRPr="0006063C" w:rsidSect="00034616">
      <w:footerReference w:type="default" r:id="rId1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