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开源许可与组件合规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Open Source Licensing and Component Compliance   ( LD-09 )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本册定义组件的选型标准、许可判定与传染性分析、上市年限与 EOL 的举证方式，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以及组件与版本清单的常设维护机制。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  这一册为什么要早写</w:t>
      </w:r>
    </w:p>
    <w:p>
      <w:pPr/>
      <w:r>
        <w:rPr>
          <w:rFonts w:ascii="微软雅黑" w:hAnsi="微软雅黑" w:eastAsia="微软雅黑"/>
          <w:b w:val="0"/>
          <w:sz w:val="21"/>
        </w:rPr>
        <w:t>本册对应的是投标阶段风险最重的一条。AS-01 记录得很清楚：RFP 1.6.1.27 要求以商用成品形态交付，1.6.1.28 进一步要求产品上市满五年、为 OEM 最新版本、未来五年不 EOL 或 EOS；而本项目是定制开发，不以闭源产品形态交付。项目方针是以核心开源组件公开发布满五年来满足上市年限要求。</w:t>
      </w:r>
    </w:p>
    <w:p>
      <w:pPr/>
      <w:r>
        <w:rPr>
          <w:rFonts w:ascii="微软雅黑" w:hAnsi="微软雅黑" w:eastAsia="微软雅黑"/>
          <w:b w:val="0"/>
          <w:sz w:val="21"/>
        </w:rPr>
        <w:t>这个立场在技术上站得住，但它把举证责任落在了一份东西上——组件与版本清单。HD-00 第 2.4 节写过一句话：这类材料应当从项目第一天起按可举证的标准维护，而不是等需要举证时再补。本册就是那份维护规程。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一个已经发生的实例    弃用 MinIO 的原判断理由是 AGPL 许可。复核后发现该理由不成立——AGPLv3 相对 GPLv3 多出的第 13 条以「修改」为触发条件，我方不修改而仅作为网络服务使用，与 PostGIS 的 GPLv2 属同一性质；若以许可为由弃用 MinIO，则同样应弃用 PostGIS。真正决定性的事实完全不同：MinIO 社区版于 2025 年 12 月进入维护模式、2026 年 4 月归档转为只读，最后一次官方安全更新为 2025 年 10 月。如果当初按原理由选中了它，今天整套五年论证就破了一个洞——而破洞的原因与许可无关。这件事直接产生了本册第 2 章的选型标准（DD-46）。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条尚未被需求直接引用的条款，开发组应在开工前逐条确认它们确实已被领域需求覆盖。这一页不应长期保持非空。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2  选型标准：上游健康度优先于许可</w:t>
      </w:r>
    </w:p>
    <w:p>
      <w:pPr/>
      <w:r>
        <w:rPr>
          <w:rFonts w:ascii="微软雅黑" w:hAnsi="微软雅黑" w:eastAsia="微软雅黑"/>
          <w:b w:val="0"/>
          <w:sz w:val="21"/>
        </w:rPr>
        <w:t>组件选型按下列顺序判断。顺序本身是结论的一部分——许可问题通常可以分析清楚，上游停摆则无解。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顺序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标准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判断依据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上游健康度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治理模式（基金会还是单一公司）、发布节奏、安全响应记录、社区规模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许可类型与使用关系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见第 4 章的传染性判定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规模适配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组件自身的运维复杂度是否超过它解决的问题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功能匹配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是否满足需求，以及有无更轻的替代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第三条不是凑数。DD-11 拒绝 Kubernetes、DD-31 拒绝本期引入列存引擎、DD-47 拒绝 Ceph RGW，用的都是这一条：在 27 台虚机、数十用户、按日考核可用性的条件下，多一套需要仲裁、需要滚动升级、需要独立备份恢复与离线补丁链的集群，代价大于收益。</w:t>
      </w:r>
    </w:p>
    <w:p>
      <w:pPr/>
      <w:r>
        <w:rPr>
          <w:rFonts w:ascii="微软雅黑" w:hAnsi="微软雅黑" w:eastAsia="微软雅黑"/>
          <w:b w:val="0"/>
          <w:sz w:val="21"/>
        </w:rPr>
        <w:t>健康度不是选型时评估一次，而是组件清单中的常设字段，按第 8 章的机制定期复核。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3  组件与版本清单</w:t>
      </w:r>
    </w:p>
    <w:p>
      <w:pPr/>
      <w:r>
        <w:rPr>
          <w:rFonts w:ascii="微软雅黑" w:hAnsi="微软雅黑" w:eastAsia="微软雅黑"/>
          <w:b w:val="0"/>
          <w:sz w:val="21"/>
        </w:rPr>
        <w:t>权威副本为 Git 中的 compliance/components.csv，随每次组件变更以提交方式更新，提交记录即为维护证据。交付给 MOI 的 Microsoft Office 格式版本由该文件生成，不单独手工维护——两份手工维护的清单必然会分叉。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compliance/components.csv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在用组件：用途、所在层、许可、OSI 认可、治理、首次公开发布、使用关系、传染性判定、健康度、版本基线、依据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compliance/弃用与不选组件.csv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曾考虑但未采用的组件及其理由。这一份与在用清单同等重要——评标与合规审查问的往往是「为什么没用某某」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版本基线在实施启动时一次性冻结，此后按 REQ-LIC-08 的补丁流程演进，每次变更更新清单。冻结之前的条目标为「待冻结」，不留空白。</w:t>
      </w:r>
    </w:p>
    <w:p>
      <w:pPr/>
      <w:r>
        <w:rPr>
          <w:rFonts w:ascii="微软雅黑" w:hAnsi="微软雅黑" w:eastAsia="微软雅黑"/>
          <w:b w:val="0"/>
          <w:sz w:val="21"/>
        </w:rPr>
        <w:t>按治理模式，在用组件分为两类。基金会或社区治理的：PostgreSQL、PostGIS（OSGeo）、Airflow 与 Superset（ASF）、etcd 与 Keycloak 与 Prometheus（CNCF）、Podman 与 Ansible（Red Hat）、HAProxy、React。单一公司或单一维护者主导、需持续关注的：SeaweedFS、Patroni、WeasyPrint、dbt-core。后一类是第 8 章复核机制的重点对象。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4  许可判定与传染性分析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4.1  先厘清本项目中「传染」的实际含义</w:t>
      </w:r>
    </w:p>
    <w:p>
      <w:pPr/>
      <w:r>
        <w:rPr>
          <w:rFonts w:ascii="微软雅黑" w:hAnsi="微软雅黑" w:eastAsia="微软雅黑"/>
          <w:b w:val="0"/>
          <w:sz w:val="21"/>
        </w:rPr>
        <w:t>项目方针写的是避免开放源码感染。需要先说清楚这句话在本项目的具体所指，否则容易把不存在的风险当成风险、把真正的风险漏掉。</w:t>
      </w:r>
    </w:p>
    <w:p>
      <w:pPr/>
      <w:r>
        <w:rPr>
          <w:rFonts w:ascii="微软雅黑" w:hAnsi="微软雅黑" w:eastAsia="微软雅黑"/>
          <w:b w:val="0"/>
          <w:sz w:val="21"/>
        </w:rPr>
        <w:t>本项目为定制开发，不交付闭源产品，全部自研代码可以按商务确定的方式向 MOI 交付。因此 copyleft 在这里的实际后果不是「我方代码被迫开源」，而是三条具体义务：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义务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随附许可文本与源码获取方式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交付给 MOI 属于分发，GPL 与 AGPL 组件均须随附。属交付清单事项，无技术影响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修改部分须以同一许可提供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若我方修改了 GPL 或 AGPL 组件，修改部分须以同一许可提供给 MOI。本项目不修改任何第三方组件，故不触发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不得把 copyleft 代码链接进自研可执行文件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这是唯一需要开发纪律约束的一条，见 4.2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4.2  一条必须写进开发规范的纪律</w:t>
      </w:r>
    </w:p>
    <w:p>
      <w:pPr/>
      <w:r>
        <w:rPr>
          <w:rFonts w:ascii="微软雅黑" w:hAnsi="微软雅黑" w:eastAsia="微软雅黑"/>
          <w:b w:val="0"/>
          <w:sz w:val="21"/>
        </w:rPr>
        <w:t>自研代码只 import 或链接宽松许可的库（MIT、BSD、Apache 2.0、ISC、PSF）以及弱 copyleft 的 LGPL 库；GPL 与 AGPL 组件一律以独立进程或网络服务的方式使用，不进入自研可执行文件的链接边界。</w:t>
      </w:r>
    </w:p>
    <w:p>
      <w:pPr/>
      <w:r>
        <w:rPr>
          <w:rFonts w:ascii="微软雅黑" w:hAnsi="微软雅黑" w:eastAsia="微软雅黑"/>
          <w:b w:val="0"/>
          <w:sz w:val="21"/>
        </w:rPr>
        <w:t>LGPL 的使用附三个条件（2026-10-14 修订，DD-86）：一、不修改该库的源码；二、只以 Python import 或动态链接的方式使用，不静态链接，也不以 PyInstaller、Nuitka 之类工具把它冻结进单文件可执行——LGPL 允许任何许可的程序与之组合，前提恰是用户能够替换这个库，而源码加 venv 的交付形态天然满足；三、组件清单上标明 LGPL，交付时随附许可文本。本次修订前，4.2 的白名单未列 LGPL，而 DD-52 的 FreeTDS 与 pymssql 已按 LGPL 直接链接或 import，两处自相矛盾；修订后以本节为准。这条纪律的检查点在依赖管理：新增依赖时须在评审中确认其许可，并同步更新组件清单。当前自研代码直接 import 的第三方库有 WeasyPrint（BSD）、python-docx（MIT）、React（MIT）、可选的 MCP SDK（MIT）、PyYAML（MIT），以及接入程序的 psycopg 3（LGPL-3，DD-86），全部合规。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4.3  逐类判定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使用关系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涉及组件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判定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独立服务（网络协议交互）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· Superset · Keycloak · SeaweedFS · Prometheus · etcd · Airflow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不构成衍生作品。许可类型不影响自研代码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数据库扩展（经 SQL 使用）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PostGIS（GPLv2）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与调用 GPL 命令行工具同性质，不构成衍生作品。RFP 2.7.3.1 要求的是开放许可与 MOI 的扩展自由，GPL 完全满足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独立进程与命令行工具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HAProxy（GPLv2）· Ansible（GPLv3）· dbt-core · Podman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不链接，不构成衍生作品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 import 的库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WeasyPrint（BSD）· python-docx（MIT）· React（MIT）· MCP SDK（MIT）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全部为宽松许可，符合 4.2 的纪律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直接 import 的 LGPL 库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psycopg 3（LGPL-3）· pymssql / FreeTDS（LGPL，迁移期，DD-52）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弱 copyleft：不修改、动态使用、可替换，符合修订后 4.2 的三个条件。不得冻结进单文件可执行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4.4  关于 AGPL 的专门说明</w:t>
      </w:r>
    </w:p>
    <w:p>
      <w:pPr/>
      <w:r>
        <w:rPr>
          <w:rFonts w:ascii="微软雅黑" w:hAnsi="微软雅黑" w:eastAsia="微软雅黑"/>
          <w:b w:val="0"/>
          <w:sz w:val="21"/>
        </w:rPr>
        <w:t>AGPLv3 相对 GPLv3 的差别集中在第 13 条：若你修改了程序并让用户通过网络与之交互，须向那些用户提供修改后的源码。触发条件是修改。不修改而仅作为网络服务使用，第 13 条不产生额外义务；交付给 MOI 时随附许可与源码获取方式即可，与 GPL 的处理一致。</w:t>
      </w:r>
    </w:p>
    <w:p>
      <w:pPr/>
      <w:r>
        <w:rPr>
          <w:rFonts w:ascii="微软雅黑" w:hAnsi="微软雅黑" w:eastAsia="微软雅黑"/>
          <w:b w:val="0"/>
          <w:sz w:val="21"/>
        </w:rPr>
        <w:t>本册记录这一分析，是因为 DD-15 曾据此弃用 MinIO 而该理由不成立（见 DD-46）。将来若再遇到 AGPL 组件，按本节判断，不要重复当初的误判。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5  上市年限与 EOL 的举证</w:t>
      </w:r>
    </w:p>
    <w:p>
      <w:pPr/>
      <w:r>
        <w:rPr>
          <w:rFonts w:ascii="微软雅黑" w:hAnsi="微软雅黑" w:eastAsia="微软雅黑"/>
          <w:b w:val="0"/>
          <w:sz w:val="21"/>
        </w:rPr>
        <w:t>RFP 1.6.1.28 的三项要求逐条对应如下。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RFP 要求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本方对应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举证材料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产品上市满五年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全部在用组件的首次公开发布均在五年以上，最短的 Podman 为 2018 年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各组件上游的发布历史页面与首个正式版本的发布公告，逐项存档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 OEM 最新版本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版本基线取上游当前的稳定版本系列，并按 REQ-LIC-08 的流程保持更新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版本基线记录与每次补丁的变更记录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未来五年不 EOL 或 EOS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以上游治理模式与支持周期政策举证；单一公司主导的组件另附替代方案说明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上游的支持周期政策文件；SeaweedFS、Patroni、WeasyPrint、dbt-core 四项另附替代路径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MCP SDK 是唯一不足五年的组件，因此它在设计上被限定为可选增补层，移除不影响任何合规项（DD-29）。这一点在举证材料中须写明，避免被当作核心组件质疑。</w:t>
      </w:r>
    </w:p>
    <w:p>
      <w:pPr/>
      <w:r>
        <w:rPr>
          <w:rFonts w:ascii="微软雅黑" w:hAnsi="微软雅黑" w:eastAsia="微软雅黑"/>
          <w:b w:val="0"/>
          <w:sz w:val="21"/>
        </w:rPr>
        <w:t>第三项是最需要主动准备的。对单一公司主导的四个组件，举证材料不应止于「目前活跃」，而应说明如果上游停摆我们怎么办——对象存储只经媒体服务访问因而可替换（DD-47），是这类说明的范例。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6  许可条件与部署自由度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RFP 条款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要求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本方情况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2.7.3.4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许可须永久、非订阅、非按席位、不绑定硬件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开源许可天然满足。这是本方相对商用 BI 产品的实质优势，应在应答中正面陈述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2.7.3.1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开放许可，MOI 具备扩展的灵活性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全部组件为 OSI 认可的开源许可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2.7.3.2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方案不对安装位置施加任何限制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许可与技术上均无位置绑定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2.7.3.3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按接警与主管各 300 席、调度与主管 300 席、JOA 100 席声明容量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开源组件无席位许可费用，容量声明不产生额外成本（REQ-PRF-03）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2.7.3.5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提供全部软件的完整许可，含第三方组件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组件清单与实际部署清单逐项对应，无缺项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6.1  集中安装、激活与管理（REQ-LIC-07）</w:t>
      </w:r>
    </w:p>
    <w:p>
      <w:pPr/>
      <w:r>
        <w:rPr>
          <w:rFonts w:ascii="微软雅黑" w:hAnsi="微软雅黑" w:eastAsia="微软雅黑"/>
          <w:b w:val="0"/>
          <w:sz w:val="21"/>
        </w:rPr>
        <w:t>RFP 2.7.3.6 要求提供集中安装、激活与管理全部软件许可的方案。开源组件不存在激活的概念，因此本方以组件与版本清单的集中管理替代，并在方案中说明这一替代关系。</w:t>
      </w:r>
    </w:p>
    <w:p>
      <w:pPr/>
      <w:r>
        <w:rPr>
          <w:rFonts w:ascii="微软雅黑" w:hAnsi="微软雅黑" w:eastAsia="微软雅黑"/>
          <w:b w:val="0"/>
          <w:sz w:val="21"/>
        </w:rPr>
        <w:t>具体形态是：Git 中的组件清单为唯一权威；部署时由 Ansible 按清单安装并校验版本；运行中的实际版本由监控采集并与清单比对，不一致即告警。这比商用产品的激活机制提供了更强的可核查性——激活证明的是授权，版本比对证明的是实际部署与承诺一致。这一点值得在应答中说明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7  合同期内的更新与补丁</w:t>
      </w:r>
    </w:p>
    <w:p>
      <w:pPr/>
      <w:r>
        <w:rPr>
          <w:rFonts w:ascii="微软雅黑" w:hAnsi="微软雅黑" w:eastAsia="微软雅黑"/>
          <w:b w:val="0"/>
          <w:sz w:val="21"/>
        </w:rPr>
        <w:t>REQ-LIC-08 要求合同期内保持最新稳定版本，而 CN-12 规定系统运行于无互联网环境。两者存在张力，处置方式是把补丁节奏与离线供给链显式化。</w:t>
      </w:r>
    </w:p>
    <w:p>
      <w:pPr/>
      <w:r>
        <w:rPr>
          <w:rFonts w:ascii="微软雅黑" w:hAnsi="微软雅黑" w:eastAsia="微软雅黑"/>
          <w:b w:val="0"/>
          <w:sz w:val="21"/>
        </w:rPr>
        <w:t>技术栈横跨三个运行时（CN-34），无外网下须维护五条离线供给链：PyPI、Maven、npm、容器镜像仓库、操作系统包源。任一条断供都会使补丁停滞，因此这五条的维护责任、更新频率与验证流程须在 LD-08 中明确到人。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环节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版本基线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实施启动时冻结，记入组件清单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补丁引入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经离线介质导入内网镜像源，导入过程留痕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每次补丁先在测试环境验证，通过后进入培训环境，再进入生产（HLD 12.4）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版本变更记录可核查，与组件清单同步更新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安全响应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订阅各组件的安全公告渠道；单一维护者主导的组件另需人工关注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8  组件健康度的常设复核</w:t>
      </w:r>
    </w:p>
    <w:p>
      <w:pPr/>
      <w:r>
        <w:rPr>
          <w:rFonts w:ascii="微软雅黑" w:hAnsi="微软雅黑" w:eastAsia="微软雅黑"/>
          <w:b w:val="0"/>
          <w:sz w:val="21"/>
        </w:rPr>
        <w:t>MinIO 的教训是：选型时最好用的那个，五年后可能不在了。因此健康度是清单中的常设字段，按下列机制复核。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频率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对象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动作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每季度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单一公司或单一维护者主导的组件（当前四项）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核对上游发布节奏、安全响应与治理公告，更新健康度字段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每半年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全部在用组件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核对支持周期政策与版本基线的时效性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随时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出现归档、维护模式、许可变更或治理变更的公告时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立即评估，必要时启动替代方案并新增决策记录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复核结果写入组件清单并保留历史，本身即是「未来五年不 EOL」这一承诺的持续举证材料。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9  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组件与版本清单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Microsoft Office 格式，由 compliance/components.csv 生成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许可类型说明与传染性分析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本册第 4 章，含逐项判定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上市年限与支持周期举证材料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各组件的发布历史与支持周期政策存档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弃用与不选组件的说明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compliance/弃用与不选组件.csv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集中版本管理方案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6.1，含与激活机制的替代关系说明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10  待确认项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影响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AS-01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以核心开源组件公开发布满五年满足 COTS 上市年限，是否获 MOI 书面认可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本册全部举证的前提。风险在投标资格评估而非技术实现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版本基线的冻结时点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宜与实施启动会同步，过早冻结会错过安全修复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DD-47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对象存储对比验证的结论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若结论为更换，组件清单与虚机资源单同步更新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DD-16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阿拉伯语 PDF 渲染验证的结论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 WeasyPrint 不过关，备选 LibreOffice headless（MPL 2.0）或 Typst（Apache 2.0），组件清单随之调整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</w:r>
    </w:p>
    <w:p>
      <w:pPr/>
      <w:r>
        <w:rPr>
          <w:rFonts w:ascii="微软雅黑" w:hAnsi="微软雅黑" w:eastAsia="微软雅黑"/>
          <w:b w:val="0"/>
          <w:sz w:val="21"/>
        </w:rPr>
        <w:t>—  本册结束  —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