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raw（7.1），契约登记新列后重取同一窗口，哈希相同、去重命中，不会重复落地；结构异常到无法可靠解析的（列数不齐、引号不闭合），原文件归档、整批隔离。取到的行先入临时表，再以一条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由触发器在 INSERT 与 UPDATE 时写入，应用层怎么写 sjc 都不影响（Q10 答复称 sjc 存在改数据不更新的情形，由此解决）；三、中间库即交接点，中间库与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更新，DD-90】本节写于「展示库由 DS 自建」的前提下。改为本方托管中间库后，变更捕获不再需要 DS 提供任何东西：mirror_updated_at 触发器时间戳即可靠的行更新时刻，水位轮询据此取数；逻辑复制若将来需要，也在本方集群上自行开启。8.3 的滚动窗口校验由「必需项」降回「加固措施」。以下原文保留，作为决策过程的记录。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