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D4ED8"/>
          <w:sz w:val="40"/>
        </w:rPr>
        <w:t>OSS911 麦加 911 运营中心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/>
          <w:color w:val="1D4ED8"/>
          <w:sz w:val="40"/>
        </w:rPr>
        <w:t>商业智能与数据仓库子系统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111827"/>
          <w:sz w:val="52"/>
        </w:rPr>
        <w:t>概要设计说明书</w:t>
      </w:r>
    </w:p>
    <w:p>
      <w:pPr>
        <w:spacing w:before="0" w:after="1200"/>
        <w:jc w:val="center"/>
      </w:pPr>
      <w:r>
        <w:rPr>
          <w:rFonts w:ascii="微软雅黑" w:hAnsi="微软雅黑" w:eastAsia="微软雅黑"/>
          <w:b w:val="0"/>
          <w:color w:val="4B5563"/>
          <w:sz w:val="24"/>
        </w:rPr>
        <w:t>High Level Design  ( HLD )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11827"/>
          <w:sz w:val="24"/>
        </w:rPr>
        <w:t>版本  v0.2  （讨论稿）</w:t>
      </w:r>
    </w:p>
    <w:p>
      <w:pPr>
        <w:spacing w:before="0" w:after="2400"/>
        <w:jc w:val="center"/>
      </w:pPr>
      <w:r>
        <w:rPr>
          <w:rFonts w:ascii="微软雅黑" w:hAnsi="微软雅黑" w:eastAsia="微软雅黑"/>
          <w:b w:val="0"/>
          <w:color w:val="4B5563"/>
          <w:sz w:val="22"/>
        </w:rPr>
        <w:t>2026 年 9 月</w:t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本文件定义系统由哪些部分组成、各部分之间如何连接、以及失效时的行为。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具体的数据结构、接口报文与实现方法在详细设计（LLD）中定义。</w:t>
      </w:r>
    </w:p>
    <w:p>
      <w:r>
        <w:br w:type="page"/>
      </w:r>
    </w:p>
    <w:p>
      <w:pPr>
        <w:pStyle w:val="Heading1"/>
      </w:pPr>
      <w:r>
        <w:t xml:space="preserve">  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907"/>
        <w:gridCol w:w="1077"/>
        <w:gridCol w:w="5726"/>
        <w:gridCol w:w="1020"/>
      </w:tblGrid>
      <w:tr>
        <w:trPr>
          <w:tblHeader/>
        </w:trPr>
        <w:tc>
          <w:tcPr>
            <w:tcW w:type="dxa" w:w="90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版本</w:t>
            </w:r>
          </w:p>
        </w:tc>
        <w:tc>
          <w:tcPr>
            <w:tcW w:type="dxa" w:w="107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日期</w:t>
            </w:r>
          </w:p>
        </w:tc>
        <w:tc>
          <w:tcPr>
            <w:tcW w:type="dxa" w:w="5726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修订说明</w:t>
            </w:r>
          </w:p>
        </w:tc>
        <w:tc>
          <w:tcPr>
            <w:tcW w:type="dxa" w:w="1020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状态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v0.1</w:t>
            </w:r>
          </w:p>
        </w:tc>
        <w:tc>
          <w:tcPr>
            <w:tcW w:type="dxa" w:w="107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2026-09</w:t>
            </w:r>
          </w:p>
        </w:tc>
        <w:tc>
          <w:tcPr>
            <w:tcW w:type="dxa" w:w="572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首版。框架设计、数据接入、数据模型、指标口径、服务接口、界面、管理运维、安全权限、高可用、部署、多站预留、待定项登记表。</w:t>
            </w:r>
          </w:p>
        </w:tc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已作废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v0.2</w:t>
            </w:r>
          </w:p>
        </w:tc>
        <w:tc>
          <w:tcPr>
            <w:tcW w:type="dxa" w:w="107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2026-09</w:t>
            </w:r>
          </w:p>
        </w:tc>
        <w:tc>
          <w:tcPr>
            <w:tcW w:type="dxa" w:w="572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依据 RFP 条款逐条复核结果修订。三处实质更正：（一）报表与仪表板数量由三十与十二更正为四十与二十（RFP 1.6.2.25 硬数量）；（二）对外数据服务由"预留能力"更正为"必须交付"（RFP 1.6.2.29、1.6.2.31.1、1.6.2.31.2）；（三）自助分析的"不允许自由 SQL"更正为"提供受控 SQL 查询能力"（RFP 1.6.2.15）。另补入客户反馈数据源、热点与聚集区分析、两项前置门与迁移方案硬期限、库副本与字典模型交付物。图 3-1 与图 3-2 同步更新。</w:t>
            </w:r>
          </w:p>
        </w:tc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已由 v0.3 取代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v0.3</w:t>
            </w:r>
          </w:p>
        </w:tc>
        <w:tc>
          <w:tcPr>
            <w:tcW w:type="dxa" w:w="107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2026-09</w:t>
            </w:r>
          </w:p>
        </w:tc>
        <w:tc>
          <w:tcPr>
            <w:tcW w:type="dxa" w:w="572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依据详细设计第一轮讨论结论修订，共十处。一、AI 能力经确认由联合体内 AI 包实现，本方交付四向集成接口（IF-07、IF-37 至 IF-39）并以 core.fact_ai_inference 承载回流结果。二、GIS 由沙特本地厂商 HudHud 提供地图数据与嵌入式组件、本地部署，本方保留空间聚合并启用 PostGIS。三、系统设 DMZ 区，含 internet 出口与短信、邮件两个网关（均由总包商运维），告警与报表分发合并为统一投递服务。四、移动端本期交付，形态为只读聚合管理看板，经 DMZ 反向代理访问（IF-40），与 RFP 1.3.2.12.15 的实质差异消解。五、新增记录检索服务，补上 RFP 1.6.2.7 的记录级检索能力。六、新增字段级可见性矩阵，并启用按派驻部门的行级安全（AS-14 已推翻）。七、响应时间改为三档分层承诺，快速路径以近一年数据为界。八、保留期改为三层，纠正八年在线保留对 RFP 2.7.10.4 的口径误读。九、新增 M-11 数据分类与发现界面，管理界面由十个增为十一个。十、迁移起始年份确认为 2016 年，规模基线按约十一年修订。 十一、归档库经更正为 SQL Server（此前记录的 PostgreSQL 系误记），读取 archive 副本库；新增 mssql_read 连接器与开源 TDS 驱动链，图 3-1 与 3-2 同步更新。</w:t>
            </w:r>
          </w:p>
        </w:tc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讨论稿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4B5563"/>
          <w:sz w:val="20"/>
        </w:rPr>
        <w:t>本版为讨论稿。第 14 章列出的待定项在答复前，相关章节的内容按建议值撰写并标注"待确认"，不作为承诺。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4B5563"/>
          <w:sz w:val="20"/>
        </w:rPr>
        <w:t>本文件是投标层面的概要设计。面向开发组的条款级需求、假设与信息需求、约束与设计决策记录，见同目录下的 HD-00 至 HD-05 交接包。三者出现分歧时以 RFP 原文为准。</w:t>
      </w:r>
    </w:p>
    <w:p>
      <w:pPr>
        <w:spacing w:before="0" w:after="200"/>
      </w:pPr>
    </w:p>
    <w:p>
      <w:pPr>
        <w:spacing w:before="0" w:after="80"/>
      </w:pPr>
      <w:r>
        <w:rPr>
          <w:rFonts w:ascii="微软雅黑" w:hAnsi="微软雅黑" w:eastAsia="微软雅黑"/>
          <w:b/>
          <w:color w:val="111827"/>
          <w:sz w:val="24"/>
        </w:rPr>
        <w:t>图表清单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247"/>
        <w:gridCol w:w="5329"/>
        <w:gridCol w:w="2268"/>
      </w:tblGrid>
      <w:tr>
        <w:trPr>
          <w:tblHeader/>
        </w:trPr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type="dxa" w:w="532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名称</w:t>
            </w:r>
          </w:p>
        </w:tc>
        <w:tc>
          <w:tcPr>
            <w:tcW w:type="dxa" w:w="226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所在章节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 3-1</w:t>
            </w:r>
          </w:p>
        </w:tc>
        <w:tc>
          <w:tcPr>
            <w:tcW w:type="dxa" w:w="532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System Layered Component Diagram</w:t>
            </w:r>
          </w:p>
        </w:tc>
        <w:tc>
          <w:tcPr>
            <w:tcW w:type="dxa" w:w="226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 3-2</w:t>
            </w:r>
          </w:p>
        </w:tc>
        <w:tc>
          <w:tcPr>
            <w:tcW w:type="dxa" w:w="532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External Interface Topology</w:t>
            </w:r>
          </w:p>
        </w:tc>
        <w:tc>
          <w:tcPr>
            <w:tcW w:type="dxa" w:w="226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3.3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 4-1</w:t>
            </w:r>
          </w:p>
        </w:tc>
        <w:tc>
          <w:tcPr>
            <w:tcW w:type="dxa" w:w="532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Ingestion Framework and Runtime Flow</w:t>
            </w:r>
          </w:p>
        </w:tc>
        <w:tc>
          <w:tcPr>
            <w:tcW w:type="dxa" w:w="226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4.1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 5-1</w:t>
            </w:r>
          </w:p>
        </w:tc>
        <w:tc>
          <w:tcPr>
            <w:tcW w:type="dxa" w:w="532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 Layering and Subject Domains</w:t>
            </w:r>
          </w:p>
        </w:tc>
        <w:tc>
          <w:tcPr>
            <w:tcW w:type="dxa" w:w="226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5.1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 6-1</w:t>
            </w:r>
          </w:p>
        </w:tc>
        <w:tc>
          <w:tcPr>
            <w:tcW w:type="dxa" w:w="532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 Freshness Tiers and the Day-close Rule</w:t>
            </w:r>
          </w:p>
        </w:tc>
        <w:tc>
          <w:tcPr>
            <w:tcW w:type="dxa" w:w="226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6.2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 7-1</w:t>
            </w:r>
          </w:p>
        </w:tc>
        <w:tc>
          <w:tcPr>
            <w:tcW w:type="dxa" w:w="532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Query Path and Realtime Push Path</w:t>
            </w:r>
          </w:p>
        </w:tc>
        <w:tc>
          <w:tcPr>
            <w:tcW w:type="dxa" w:w="226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7.1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 9-1</w:t>
            </w:r>
          </w:p>
        </w:tc>
        <w:tc>
          <w:tcPr>
            <w:tcW w:type="dxa" w:w="532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Management Console Function Map</w:t>
            </w:r>
          </w:p>
        </w:tc>
        <w:tc>
          <w:tcPr>
            <w:tcW w:type="dxa" w:w="226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9.1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 11-1</w:t>
            </w:r>
          </w:p>
        </w:tc>
        <w:tc>
          <w:tcPr>
            <w:tcW w:type="dxa" w:w="532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High Availability Topology and Failure Behaviour</w:t>
            </w:r>
          </w:p>
        </w:tc>
        <w:tc>
          <w:tcPr>
            <w:tcW w:type="dxa" w:w="226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11.2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 12-1</w:t>
            </w:r>
          </w:p>
        </w:tc>
        <w:tc>
          <w:tcPr>
            <w:tcW w:type="dxa" w:w="532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Physical Placement and Storage Isolation</w:t>
            </w:r>
          </w:p>
        </w:tc>
        <w:tc>
          <w:tcPr>
            <w:tcW w:type="dxa" w:w="226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12.2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4B5563"/>
          <w:sz w:val="19"/>
        </w:rPr>
        <w:t>插图使用英文，便于直接用于对外提交物；正文为中文。</w:t>
      </w:r>
    </w:p>
    <w:p>
      <w:r>
        <w:br w:type="page"/>
      </w:r>
    </w:p>
    <w:p>
      <w:pPr>
        <w:pStyle w:val="Heading1"/>
      </w:pPr>
      <w:r>
        <w:t xml:space="preserve">  目  录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rFonts w:ascii="微软雅黑" w:hAnsi="微软雅黑" w:eastAsia="微软雅黑"/>
          <w:b w:val="0"/>
          <w:sz w:val="21"/>
        </w:rPr>
        <w:t xml:space="preserve">  </w:t>
      </w:r>
      <w:r>
        <w:fldChar w:fldCharType="end"/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4B5563"/>
          <w:sz w:val="19"/>
        </w:rPr>
        <w:t>（在 Word 中按 F9 或右键"更新域"生成目录）</w:t>
      </w:r>
    </w:p>
    <w:p>
      <w:r>
        <w:br w:type="page"/>
      </w:r>
    </w:p>
    <w:p>
      <w:pPr>
        <w:pStyle w:val="Heading1"/>
      </w:pPr>
      <w:r>
        <w:t>1  概述</w:t>
      </w:r>
    </w:p>
    <w:p>
      <w:pPr>
        <w:pStyle w:val="Heading2"/>
      </w:pPr>
      <w:r>
        <w:t>1.1  文档目的与读者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本文件是 OSS911 麦加 911 运营中心商业智能与数据仓库子系统的概要设计。它回答三个问题：系统由哪些部分组成、这些部分之间通过什么接口以什么协议连接、以及当某一部分失效时系统的行为是什么。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本文件不回答的问题有两类：一类是数据结构的字段级定义、接口报文格式、SQL 实现与算法细节，这些属于详细设计；另一类是尚未取得外部答复的事项，这些集中列在第 14 章，在答复到位前不写入承诺性表述。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读者包括：我方开发与测试人员、总包商的集成与基础设施团队、DS 与 ICP 的接口对接人员、以及 MOI 的技术评审人员。</w:t>
      </w:r>
    </w:p>
    <w:p>
      <w:pPr>
        <w:pStyle w:val="Heading2"/>
      </w:pPr>
      <w:r>
        <w:t>1.2  系统范围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本子系统覆盖麦加 911 运营中心的数据汇聚、数据仓库、指标口径、报表、仪表板与指挥大屏。麦地那为独立合同，本设计仅做扩展预留（第 13 章），不含其交付内容。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4422"/>
        <w:gridCol w:w="4422"/>
      </w:tblGrid>
      <w:tr>
        <w:trPr>
          <w:tblHeader/>
        </w:trPr>
        <w:tc>
          <w:tcPr>
            <w:tcW w:type="dxa" w:w="4422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范围内</w:t>
            </w:r>
          </w:p>
        </w:tc>
        <w:tc>
          <w:tcPr>
            <w:tcW w:type="dxa" w:w="4422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范围外</w:t>
            </w:r>
          </w:p>
        </w:tc>
      </w:tr>
      <w:tr>
        <w:tc>
          <w:tcPr>
            <w:tcW w:type="dxa" w:w="442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数据接入、数据仓库、指标语义层</w:t>
            </w:r>
          </w:p>
        </w:tc>
        <w:tc>
          <w:tcPr>
            <w:tcW w:type="dxa" w:w="442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硬件采购与虚拟化平台建设（提出资源与放置要求）</w:t>
            </w:r>
          </w:p>
        </w:tc>
      </w:tr>
      <w:tr>
        <w:tc>
          <w:tcPr>
            <w:tcW w:type="dxa" w:w="442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报表、仪表板、指挥大屏</w:t>
            </w:r>
          </w:p>
        </w:tc>
        <w:tc>
          <w:tcPr>
            <w:tcW w:type="dxa" w:w="442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模型的训练与推理（提供 AI 就绪的数据与导出能力）</w:t>
            </w:r>
          </w:p>
        </w:tc>
      </w:tr>
      <w:tr>
        <w:tc>
          <w:tcPr>
            <w:tcW w:type="dxa" w:w="442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管理与运维界面</w:t>
            </w:r>
          </w:p>
        </w:tc>
        <w:tc>
          <w:tcPr>
            <w:tcW w:type="dxa" w:w="442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话务平台与 CAD 本身的功能</w:t>
            </w:r>
          </w:p>
        </w:tc>
      </w:tr>
      <w:tr>
        <w:tc>
          <w:tcPr>
            <w:tcW w:type="dxa" w:w="442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 CAD、ICP、归档库的数据接口</w:t>
            </w:r>
          </w:p>
        </w:tc>
        <w:tc>
          <w:tcPr>
            <w:tcW w:type="dxa" w:w="442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通话录音的生产存储与磁带备份</w:t>
            </w:r>
          </w:p>
        </w:tc>
      </w:tr>
      <w:tr>
        <w:tc>
          <w:tcPr>
            <w:tcW w:type="dxa" w:w="442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三套环境（生产 / 测试 / 培训）</w:t>
            </w:r>
          </w:p>
        </w:tc>
        <w:tc>
          <w:tcPr>
            <w:tcW w:type="dxa" w:w="4422"/>
          </w:tcPr>
          <w:p>
            <w:pPr>
              <w:spacing w:after="40" w:before="40" w:line="283" w:lineRule="auto"/>
            </w:pPr>
            <w:r>
              <w:t>通话录音的生产存储与磁带备份之外，本期无其它范围外项；移动应用已改为本期交付（8.4）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1.3  与 RFP 条款的对应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本设计对应 RFP 第 1.6.2 节「OSS911 Solution Business Intelligence, Database Repository, Dashboards and Reports」共 52 条要求，并受第 1.5.2 节服务水平条款与第 1.6.7 节性能条款约束。主要条款与章节的对应关系如下。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474"/>
        <w:gridCol w:w="4762"/>
        <w:gridCol w:w="2608"/>
      </w:tblGrid>
      <w:tr>
        <w:trPr>
          <w:tblHeader/>
        </w:trPr>
        <w:tc>
          <w:tcPr>
            <w:tcW w:type="dxa" w:w="147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条款</w:t>
            </w:r>
          </w:p>
        </w:tc>
        <w:tc>
          <w:tcPr>
            <w:tcW w:type="dxa" w:w="4762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内容要点</w:t>
            </w:r>
          </w:p>
        </w:tc>
        <w:tc>
          <w:tcPr>
            <w:tcW w:type="dxa" w:w="260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本文件章节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1.6.2.3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单一高可用结构化关系型数据库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 · 5.1 · 11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1.6.2.4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实时数据为当日，历史数据为当日之前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6.2 · 6.3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1.6.2.9 / 1.6.2.20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报表参数、数量与类型经与 MOI 的工作坊确定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7.4 · 8.2 · 14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1.6.2.15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可使用通用 SQL 生成简短报表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8.1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1.6.2.17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客户反馈纳入 BI 并构成绩效度量的一部分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3.3 · 8.2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1.6.2.25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每中心四十张自定义报表与二十个仪表板（硬数量）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7.4 · 8.2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1.6.2.29 / 1.6.2.31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警情与告警的 Web 服务、库结构的数据服务、ESB 适配器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7.7 · 3.3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1.6.2.32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交付非加密完整库副本、数据字典与数据模型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5.7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1.6.5.7.5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分析与智能层含实时 KPI、聚集区与热点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8.2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2.7.7.3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合同授予后两个月内提交分步迁移方案（硬期限）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4.6.1 · 14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2.7.9.5 / 2.7.9.11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数据分类政策与 DLP 登记册须经 MOI 批准后方可上生产（前置门）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10.4 · 14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1.6.2.10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数据仓库的建设与数据整合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 · 5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1.6.2.15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面向未来分析与人工智能的数据支撑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5.6 · 7.6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1.5.2.9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服务水平：数据库 99.999%，BI 99.99%，按日考核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11.3 · 11.6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1.5.2.8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服务水平报告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9.3 · 11.6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1.6.7.5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性能：95% 亚秒，峰值 99% 低于 2 秒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7.2 · 12.1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1.6.9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测试环境要求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12.3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培训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12.3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1.2.1.20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不具备互联网访问条件下的运行与补丁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10.6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1.6.2.7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全部数据库可按一组可配置检索条件检索，供操作员即时调取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3.2.4 · 7.2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1.6.3.1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经 Web 服务集成 MOI 指定来源的资源数据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3.3 · 4.6.2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1.3.8.7.26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 webhooks、开放 API 与插件式能力与外部 AI 框架及 ML 平台集成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7.6 · 7.7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1.3.8.7.27 / 1.3.8.7.29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自然语言助手与 AI 实时报表生成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3.3 · 7.6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2.7.9.4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对全部数据库与文件周期性自动扫描以识别数据分布与敏感内容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9.1 · 10.4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2.7.10.4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在线一年、离线五年、扩展离线八年的最低保留期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5.5 · 11.5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1.3.2.12.15</w:t>
            </w:r>
          </w:p>
        </w:tc>
        <w:tc>
          <w:tcPr>
            <w:tcW w:type="dxa" w:w="476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信息可通过运行于 iOS 与 / 或 Android 设备的应用访问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8.4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1.4 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814"/>
        <w:gridCol w:w="7030"/>
      </w:tblGrid>
      <w:tr>
        <w:trPr>
          <w:tblHeader/>
        </w:trPr>
        <w:tc>
          <w:tcPr>
            <w:tcW w:type="dxa" w:w="181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术语</w:t>
            </w:r>
          </w:p>
        </w:tc>
        <w:tc>
          <w:tcPr>
            <w:tcW w:type="dxa" w:w="7030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CAD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接处警调度系统。现为 Hexagon，新系统为 DS。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ICP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呼叫平台，提供排队、坐席与录音能力。仅提供 REST 接口。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展示库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DS 为对外集成提供的只读数据库，本系统的主要持续数据来源。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归档库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旧系统的历史数据库，一次性迁入后旧系统下线。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水位线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增量拉取的推进位置，可以是时间戳或递增序号。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日切 / 封账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一日统计在次日固定时刻定版，此后不再改动快照。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缓变维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会随时间变化的维度（如坐席所属班组）。本系统按"当时"记录。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映射三态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语义映射的状态：已验证 / 已映射未验证 / 未知。</w:t>
            </w:r>
          </w:p>
        </w:tc>
      </w:tr>
    </w:tbl>
    <w:p>
      <w:pPr>
        <w:spacing w:before="0" w:after="140"/>
      </w:pPr>
    </w:p>
    <w:p>
      <w:r>
        <w:br w:type="page"/>
      </w:r>
    </w:p>
    <w:p>
      <w:pPr>
        <w:pStyle w:val="Heading1"/>
      </w:pPr>
      <w:r>
        <w:t>2  设计原则与关键约束</w:t>
      </w:r>
    </w:p>
    <w:p>
      <w:pPr>
        <w:pStyle w:val="Heading2"/>
      </w:pPr>
      <w:r>
        <w:t>2.1  设计原则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以下六条贯穿全文。后续章节中凡出现"不允许"、"唯一"、"必须"的表述，都可以回溯到这六条之一。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587"/>
        <w:gridCol w:w="4082"/>
        <w:gridCol w:w="3175"/>
      </w:tblGrid>
      <w:tr>
        <w:trPr>
          <w:tblHeader/>
        </w:trPr>
        <w:tc>
          <w:tcPr>
            <w:tcW w:type="dxa" w:w="158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原则</w:t>
            </w:r>
          </w:p>
        </w:tc>
        <w:tc>
          <w:tcPr>
            <w:tcW w:type="dxa" w:w="4082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含义</w:t>
            </w:r>
          </w:p>
        </w:tc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违反后的典型后果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单一事实来源</w:t>
            </w:r>
          </w:p>
        </w:tc>
        <w:tc>
          <w:tcPr>
            <w:tcW w:type="dxa" w:w="408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 层是唯一的事实来源，mart 与 ai 均为其投影，不得各自从 raw 另起加工链。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同一个"上季度警情数"出现两个数字，且都能自证。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原样落地，向上重建</w:t>
            </w:r>
          </w:p>
        </w:tc>
        <w:tc>
          <w:tcPr>
            <w:tcW w:type="dxa" w:w="408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raw 层原样保存源系统送来的内容，永不覆盖、永不修正；所有修正通过重建上层完成。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出现数据争议时无法回答"是送来时就错了，还是我们算错了"。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边界即契约</w:t>
            </w:r>
          </w:p>
        </w:tc>
        <w:tc>
          <w:tcPr>
            <w:tcW w:type="dxa" w:w="408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每一个外部数据源以一份可版本化的接入契约描述，契约字段是配置而非代码。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外部方的每一次变化都变成一次开发任务，且发现时已经出错。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服务层唯一出口</w:t>
            </w:r>
          </w:p>
        </w:tc>
        <w:tc>
          <w:tcPr>
            <w:tcW w:type="dxa" w:w="408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展现层与任何外部系统均不得直连数据库，一律经服务层。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行级权限与审计留痕失效，性能责任无法界定。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可用性由放置决定</w:t>
            </w:r>
          </w:p>
        </w:tc>
        <w:tc>
          <w:tcPr>
            <w:tcW w:type="dxa" w:w="408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虚机规格不产生可用性，主机与存储的隔离方式才产生可用性。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规格达标而单点仍在，按日考核的服务水平第一次故障即失守。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承诺可举证</w:t>
            </w:r>
          </w:p>
        </w:tc>
        <w:tc>
          <w:tcPr>
            <w:tcW w:type="dxa" w:w="408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凡是承诺的指标，必须有独立留存、只增不改的测量数据与事先认可的判定口径。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达标而无法证明，等同于未达标。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2.2  关键约束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下表列出对架构产生实质影响的约束，以及各自的设计后果。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2381"/>
        <w:gridCol w:w="1361"/>
        <w:gridCol w:w="5102"/>
      </w:tblGrid>
      <w:tr>
        <w:trPr>
          <w:tblHeader/>
        </w:trPr>
        <w:tc>
          <w:tcPr>
            <w:tcW w:type="dxa" w:w="238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约束</w:t>
            </w:r>
          </w:p>
        </w:tc>
        <w:tc>
          <w:tcPr>
            <w:tcW w:type="dxa" w:w="136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来源</w:t>
            </w:r>
          </w:p>
        </w:tc>
        <w:tc>
          <w:tcPr>
            <w:tcW w:type="dxa" w:w="5102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设计后果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单一高可用结构化关系型数据库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RFP 1.6.2.2 · 1.6.2.3（解读）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一个 PostgreSQL 集群实例，内部以 schema 逻辑分层。条文用语为 shall，严于「统一建设」之意；据 MOI 沟通其意图为各应用统一建设同一种数据库、非限制只用一种产品，本设计据此按设计选择处理，该解读不写入投标文件。维持单库的第二条理由（最大事实表千万行级，远未到列存收益区）不受解读影响。列存加速层已预设形态与触发条件，见交接包 DD-31。PostGIS 为 PostgreSQL 扩展而非第二个数据库产品。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 99.999%、BI 99.99%，按日考核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RFP 1.5.2.9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每日容差分别为 0.86 秒与 8.64 秒。同步复制、自动切换、数据库层禁止资源超分。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95% 亚秒响应，峰值 99% 低于 2 秒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RFP 1.6.7.5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所有查询走分析副本；加工层不在查询路径上；查询 API 带缓存、限流与超时。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实时数据为当日，历史为当日之前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RFP 1.6.2.4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三级数据新鲜度与日切封账机制（第 6 章）。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无互联网访问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RFP 1.2.1.20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内网镜像源与离线补丁流程；不依赖任何在线服务。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专网无公网可达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现场条件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>
              <w:t>不使用 APNs 与 FCM 推送——内政部数据不经第三方服务转发。移动端经 DMZ 反向代理访问，本期交付，打开应用后主动拉取（8.4 · DD-30）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ICP 仅提供 REST 接口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现场条件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话务数据无第二条技术通道，对账只能与话务平台自身报表比对（6.4）。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DS 展示库提供只读基表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 DS 商定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语义映射在我方 staging 层完成，映射登记表与验证样例为交付物（4.3）。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报表按语言各出一份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 MOI 商定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不做阿英混排，每份报表模板有阿语版与英语版两套，各自单向排版（7.4）。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每中心四十张自定义报表与二十个仪表板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RFP 1.6.2.25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硬数量，为交付量下限。与"复刻现有报表"的关系须在设计阶段书面澄清（7.4 · 8.2 · 14）。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 Web 服务与数据服务对外提供，并为 ESB 开发适配器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RFP 1.6.2.29 · 1.6.2.31.1 · 1.6.2.31.2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对外数据服务是必须交付项而非可选能力；适配器的交付时间取决于 ESB 规格冻结（7.7 · 14）。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可使用通用 SQL 生成简短报表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RFP 1.6.2.15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在语义层之外提供受控 SQL 能力：授权角色、只读、分析副本、强制超时与全程审计（8.1）。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数据分类政策与 DLP 登记册须经 MOI 批准后，方可在生产与培训环境实施任何数据库与数据存储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RFP 2.7.9.5 · 2.7.9.11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关键路径上的前置门，不是并行工作。批准日期必须早于生产库上线日期（10.4 · 14）。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合同授予后两个月内提交分步数据迁移方案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RFP 2.7.7.3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硬期限，且依赖对现有环境的分析已完成（4.6.1 · 14）。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能力由联合体内 AI 包实现，本方仅提供接口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联合体划界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本方交付四向集成接口：IF-37 供数、IF-07 结果回流、IF-38 语义目录与结构化查询、IF-39 叙述块生成；AI 结果经接入契约进 raw 并落 core.fact_ai_inference，不写入业务事实表；AI 调用一律异步或可降级，其故障不计入本方服务水平（3.3 · 5.1 · 7.6）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GIS 由沙特本地厂商 HudHud 提供，地图服务本地部署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联合体划界 + 现场条件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本方不建底图、瓦片与地图应用；空间聚合（网格化、点在面内判定、热点强度）留在本方 mart 层并启用 PostGIS；组件与瓦片须可离线部署以满足无外网要求；地图故障不计入本方服务水平（5.1 · 8.2）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系统设 DMZ 区，含 internet 出口与短信、邮件网关，均由总包商运维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现场条件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告警与报表分发合并为统一投递服务，两类内容三条通道；网关故障不计入本方服务水平，但本方须留存投递交接点证据；NW-03 仍成立——DMZ 为入向代理，本方虚机无互联网出向访问（7.4 · 9.3 · 11.6）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移动端经 internet 与 DMZ 反向代理访问，不在专网内直连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现场条件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独立的移动端对外面 IF-40：独立令牌受众与限流、Keycloak 按端点白名单经代理暴露、独立审计标记；移动端仅服务聚合指标，记录级接口在该受众下一律拒绝；移动端链路含公网段，不适用 1.6.7.5 的亚秒承诺（8.4 · 10.2 · 12.2）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调度员与主管来自不同派驻部门，须按部门切分可见数据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现场条件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行级安全本期启用（原为预留）：调度员与主管按派驻部门过滤，接警员与管理员不受限；部门归属以 AD 为目标、M-06 本地映射表为过渡；编码以 CAD 处置单位编码为权威，映射不上时拒绝放行而非静默返回空（10.2 · 10.3）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在线保留一年、离线五年、扩展离线八年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RFP 2.7.10.4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原「业务数据在线保留八年」为口径误读。改为三层：热层近一年承担亚秒查询，温层为一年以上的全部历史、走历史查询路径，冷层按备份分层执行（5.5 · 7.2）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归档库为 SQL Server，读取 archive 副本库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现场条件</w:t>
            </w:r>
          </w:p>
        </w:tc>
        <w:tc>
          <w:tcPr>
            <w:tcW w:type="dxa" w:w="51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新增第五类连接器 mssql_read 与开源 TDS 驱动链；跨库类型映射须逐类定义；SQL Server 的 datetime 不带时区，REQ-MIG-08 的保真表述须按源端实际情况修订（4.6.1 · 14 章）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2.3  业务规模基线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本设计的容量与性能取值以下表为基线。需要说明的是，本系统的设计驱动因素不是数据量——八年明细数据加索引约 1.3 TB，对 PostgreSQL 而言并不构成挑战。真正的驱动因素是按日考核的可用性、外部接口的稳定性与数据治理的可证明性。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928"/>
        <w:gridCol w:w="2041"/>
        <w:gridCol w:w="2041"/>
        <w:gridCol w:w="2835"/>
      </w:tblGrid>
      <w:tr>
        <w:trPr>
          <w:tblHeader/>
        </w:trPr>
        <w:tc>
          <w:tcPr>
            <w:tcW w:type="dxa" w:w="192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项目</w:t>
            </w:r>
          </w:p>
        </w:tc>
        <w:tc>
          <w:tcPr>
            <w:tcW w:type="dxa" w:w="204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平常</w:t>
            </w:r>
          </w:p>
        </w:tc>
        <w:tc>
          <w:tcPr>
            <w:tcW w:type="dxa" w:w="204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朝觐期间</w:t>
            </w:r>
          </w:p>
        </w:tc>
        <w:tc>
          <w:tcPr>
            <w:tcW w:type="dxa" w:w="28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累计（迁移自 2016 年起，约十一年）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日呼叫量</w:t>
            </w:r>
          </w:p>
        </w:tc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数千</w:t>
            </w:r>
          </w:p>
        </w:tc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最高 50,000</w:t>
            </w:r>
          </w:p>
        </w:tc>
        <w:tc>
          <w:tcPr>
            <w:tcW w:type="dxa" w:w="28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1,600 万次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日警情量</w:t>
            </w:r>
          </w:p>
        </w:tc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30% 呼叫形成派单</w:t>
            </w:r>
          </w:p>
        </w:tc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同比例</w:t>
            </w:r>
          </w:p>
        </w:tc>
        <w:tc>
          <w:tcPr>
            <w:tcW w:type="dxa" w:w="28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1,610 万起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在线坐席</w:t>
            </w:r>
          </w:p>
        </w:tc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30 人一班</w:t>
            </w:r>
          </w:p>
        </w:tc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接警 120 + 调度 120</w:t>
            </w:r>
          </w:p>
        </w:tc>
        <w:tc>
          <w:tcPr>
            <w:tcW w:type="dxa" w:w="28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系统用户</w:t>
            </w:r>
          </w:p>
        </w:tc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数十人</w:t>
            </w:r>
          </w:p>
        </w:tc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数十人</w:t>
            </w:r>
          </w:p>
        </w:tc>
        <w:tc>
          <w:tcPr>
            <w:tcW w:type="dxa" w:w="28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仓库明细数据</w:t>
            </w:r>
          </w:p>
        </w:tc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690 ~ 1,010 GB（含索引约 1.8 TB）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现场媒体</w:t>
            </w:r>
          </w:p>
        </w:tc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待确认，见 14 章 D-01</w:t>
            </w:r>
          </w:p>
        </w:tc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TB ~ 50 TB（相差五倍；为上线后累积估算，历史迁移是否含媒体待确认）</w:t>
            </w:r>
          </w:p>
        </w:tc>
      </w:tr>
    </w:tbl>
    <w:p>
      <w:pPr>
        <w:spacing w:before="0" w:after="1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D4ED8"/>
          <w:left w:val="single" w:sz="4" w:space="0" w:color="1D4ED8"/>
          <w:bottom w:val="single" w:sz="4" w:space="0" w:color="1D4ED8"/>
          <w:right w:val="single" w:sz="4" w:space="0" w:color="1D4ED8"/>
          <w:insideH w:val="single" w:sz="4" w:space="0" w:color="1D4ED8"/>
          <w:insideV w:val="single" w:sz="4" w:space="0" w:color="1D4ED8"/>
        </w:tblBorders>
      </w:tblPr>
      <w:tblGrid>
        <w:gridCol w:w="9298"/>
      </w:tblGrid>
      <w:tr>
        <w:tc>
          <w:tcPr>
            <w:tcW w:type="dxa" w:w="9298"/>
            <w:shd w:val="clear" w:fill="F1F5F9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1D4ED8"/>
                <w:sz w:val="20"/>
              </w:rPr>
              <w:t>关于录音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通话录音由话务平台产生并由生产系统按磁带方式备份，不属于本系统的存储成本。本系统只保存录音的元数据与访问引用，不复制录音本体。若将来 AI 侧需要录音用于训练，通过第 7.6 节的导出接口按批次授权提取，不改变本系统的存储设计。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</w:pPr>
      <w:r>
        <w:t>3  系统框架设计</w:t>
      </w:r>
    </w:p>
    <w:p>
      <w:pPr>
        <w:pStyle w:val="Heading2"/>
      </w:pPr>
      <w:r>
        <w:t>3.1  分层与边界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系统分为六层，其中管理与运维层横切其余各层。系统边界画在接入层的连接器上：连接器之外的一切属于源系统，不是本系统的组件，只是本系统接口的对端。这条边界同时是责任边界。</w:t>
      </w:r>
    </w:p>
    <w:p>
      <w:pPr>
        <w:keepLines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202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-Fig3-1-System-Layered-Component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202899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微软雅黑" w:hAnsi="微软雅黑" w:eastAsia="微软雅黑"/>
          <w:b w:val="0"/>
          <w:color w:val="4B5563"/>
          <w:sz w:val="17"/>
        </w:rPr>
        <w:t>图 3-1  System Layered Component Diagram   系统分层组件图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图中有三处需要特别说明。</w:t>
      </w:r>
    </w:p>
    <w:p>
      <w:pPr>
        <w:pStyle w:val="ListNumber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查询路径不经过加工层。加工层只负责把数据算好写回存储层，它不在任何一次用户查询的链路上。存储层与加工层之间是双向的读写关系，其余层间关系均为单向。</w:t>
      </w:r>
    </w:p>
    <w:p>
      <w:pPr>
        <w:pStyle w:val="ListNumber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mart 与 ai 是从 core 并列分叉的两条投影，不是串联关系，也不是两条独立的加工链。</w:t>
      </w:r>
    </w:p>
    <w:p>
      <w:pPr>
        <w:pStyle w:val="ListNumber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虚线表示系统边界之外：L0 整层、以及对外数据服务与 AI 包等外部消费方。移动应用本期交付，不再以虚线表示。</w:t>
      </w:r>
    </w:p>
    <w:p>
      <w:pPr>
        <w:pStyle w:val="Heading2"/>
      </w:pPr>
      <w:r>
        <w:t>3.2  各层组件与能力</w:t>
      </w:r>
    </w:p>
    <w:p>
      <w:pPr>
        <w:pStyle w:val="Heading3"/>
      </w:pPr>
      <w:r>
        <w:t>3.2.1  L1 接入层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2041"/>
        <w:gridCol w:w="6803"/>
      </w:tblGrid>
      <w:tr>
        <w:trPr>
          <w:tblHeader/>
        </w:trPr>
        <w:tc>
          <w:tcPr>
            <w:tcW w:type="dxa" w:w="204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组件</w:t>
            </w:r>
          </w:p>
        </w:tc>
        <w:tc>
          <w:tcPr>
            <w:tcW w:type="dxa" w:w="680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能力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连接器运行时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五类协议适配：pg_read、mssql_read、rest_api、kafka_consume、file_drop。负责分页、限流、重试、断点续传、批事务提交。不含任何业务语义。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接入契约注册表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每个数据源一份契约：水位线、幂等键、软删除、迟到窗口、调度、期望、契约版本。Git 为权威，库内副本只读。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水位与运行状态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每源当前水位；每次运行的 run_id、起止水位、行数、结果。重放的依据。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期望校验与隔离区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批级校验（非空、唯一、类型、值域）。不合格整批隔离，不进 raw，并告警。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归档迁移工具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一次性全量迁移，含分批、校验与对账报告。上线并完成对账后停用。</w:t>
            </w:r>
          </w:p>
        </w:tc>
      </w:tr>
    </w:tbl>
    <w:p>
      <w:pPr>
        <w:spacing w:before="0" w:after="140"/>
      </w:pPr>
    </w:p>
    <w:p>
      <w:pPr>
        <w:pStyle w:val="Heading3"/>
      </w:pPr>
      <w:r>
        <w:t>3.2.2  L2 存储层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2041"/>
        <w:gridCol w:w="6803"/>
      </w:tblGrid>
      <w:tr>
        <w:trPr>
          <w:tblHeader/>
        </w:trPr>
        <w:tc>
          <w:tcPr>
            <w:tcW w:type="dxa" w:w="204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组件</w:t>
            </w:r>
          </w:p>
        </w:tc>
        <w:tc>
          <w:tcPr>
            <w:tcW w:type="dxa" w:w="680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能力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集群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单一实例，七个 schema：raw、staging、core、mart、ai、meta、audit。主库承担写入，同步备库承担零丢失，分析副本承担全部查询。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集群高可用组件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Patroni 为角色变更的唯一权威；etcd 三成员提供仲裁；HAProxy 与 pgBouncer 提供读写分流与连接池。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对象存储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现场媒体、报表产物、AI 训练导出。S3 兼容接口，仅由服务层访问。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备份仓库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全量、增量与 WAL 归档。存储介质独立于数据库数据存储。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空间扩展（PostGIS）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坐标系转换（ST_Transform）、点在面内判定、网格与热点聚合。为 PostgreSQL 的扩展而非第二个数据库产品，不违反 2.2 的单一关系库约束。底图、瓦片与地图应用由 HudHud 提供，不在本系统内。</w:t>
            </w:r>
          </w:p>
        </w:tc>
      </w:tr>
    </w:tbl>
    <w:p>
      <w:pPr>
        <w:spacing w:before="0" w:after="140"/>
      </w:pPr>
    </w:p>
    <w:p>
      <w:pPr>
        <w:pStyle w:val="Heading3"/>
      </w:pPr>
      <w:r>
        <w:t>3.2.3  L3 加工层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2041"/>
        <w:gridCol w:w="6803"/>
      </w:tblGrid>
      <w:tr>
        <w:trPr>
          <w:tblHeader/>
        </w:trPr>
        <w:tc>
          <w:tcPr>
            <w:tcW w:type="dxa" w:w="204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组件</w:t>
            </w:r>
          </w:p>
        </w:tc>
        <w:tc>
          <w:tcPr>
            <w:tcW w:type="dxa" w:w="680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能力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批量编排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调度、依赖、重试、补数、SLA 告警。DAG 由接入契约注册表动态生成。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模型构建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staging 至 core 至 mart / ai 的模型物化、增量策略、血缘与测试。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准实时聚合器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分钟级按日桶重算，仅重算受影响的日期分区。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实时状态服务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短周期拉取源系统的当前状态，在内存中维护"此刻"视图。不落主库，不参与统计。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数据质量与对账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规则化校验、跨系统对账、日结封账与修正标记、值剖析。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敏感数据发现扫描器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对数据库与对象存储（现场媒体、报表产物、AI 导出）周期性扫描，识别数据分布与敏感内容。扫描周期可配置。结果只存字段名、类型判定与置信度，不存样例值；使用独立服务账号；扫描行为写审计。结果驱动分类打标、字段可见性默认值与脱敏规则对象清单。</w:t>
            </w:r>
          </w:p>
        </w:tc>
      </w:tr>
    </w:tbl>
    <w:p>
      <w:pPr>
        <w:spacing w:before="0" w:after="140"/>
      </w:pPr>
    </w:p>
    <w:p>
      <w:pPr>
        <w:pStyle w:val="Heading3"/>
      </w:pPr>
      <w:r>
        <w:t>3.2.4  L4 服务层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服务层是本系统对外访问的唯一出口。展现层与任何外部系统均不得直连数据库；任何提出直连需求的场景都必须走变更评审。这条约束若不成立，第 10 章的行级权限预留与审计留痕将全部失去意义。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2041"/>
        <w:gridCol w:w="6803"/>
      </w:tblGrid>
      <w:tr>
        <w:trPr>
          <w:tblHeader/>
        </w:trPr>
        <w:tc>
          <w:tcPr>
            <w:tcW w:type="dxa" w:w="204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组件</w:t>
            </w:r>
          </w:p>
        </w:tc>
        <w:tc>
          <w:tcPr>
            <w:tcW w:type="dxa" w:w="680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能力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语义与指标服务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指标注册表：定义、口径、维度、粒度、权威来源。全项目指标定义的唯一事实来源。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 API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按指标、维度、过滤条件与时间粒度查询。分页、缓存、超时、并发限流。响应携带四个元字段（见 7.2）。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实时推送网关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WebSocket 订阅与推送。订阅主题按角色与数据权限过滤，断线重连带补偿。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报表渲染服务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按模板生成 PDF、Word 与 Excel。阿语与英语各出一份，不做混排。异步任务，产物入对象存储。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投递服务（报表与告警）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统一投递抽象：两类内容（报表产物、告警消息）× 三条通道（邮件网关、短信网关、门户内消息）。含计划触发、失败重试、投递回执与交接点留痕（投递时间、目标网关、返回码、重试次数，只增不改）。两个网关由总包商提供，其故障不计入本方服务水平。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媒体服务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对象存储的受控访问，签发短时效凭证，不向客户端暴露存储地址。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数据服务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宽表查询、批量导出、媒体与结构化数据的关联索引、导出配额与审计（IF-37）。另提供语义目录与结构化查询（IF-38）供 AI 包的自然语言助手使用，以及叙述块生成的调用出口（IF-39）。AI 包只生成结构化查询体，不生成 SQL。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身份与授权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令牌校验、角色解析。两级数据权限下推：字段级可见性矩阵（角色 × 字段，服务端裁列，缓存键含白名单指纹）与行级部门过滤（调度员与主管按派驻部门，接警员与管理员不受限）。两者在全部出口路径生效，含报表订阅分发等以系统身份运行的异步任务。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告警规则与评估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按指标、阈值、时间窗与作用域定义规则，挂在准实时聚合器之后，不在查询路径上。含去重与静默。告警事件落 core，因而可被统计并经 IF-33 对外提供。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记录检索服务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按受配置的有限条件集检索记录，每条条件对应索引；时间范围必填且有最大跨度上限；结果集有硬上限，超限要求收窄条件；一律走分析副本；归档迁移数据纳入同一检索面；移动端受众一律拒绝。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MCP 服务器（可选增补）</w:t>
            </w:r>
          </w:p>
        </w:tc>
        <w:tc>
          <w:tcPr>
            <w:tcW w:type="dxa" w:w="680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在查询 API 与语义目录之上封装的只读工具与资源，供外部 AI 框架与 ML 平台集成（RFP 1.3.8.7.26）。走同一服务层、鉴权、审计与权限下推，返回携带 6.5 的四个元字段。锁定规范版本，不跟随上游演进。非强制交付项。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3.3  接口清单与协议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系统边界上的每一个接口都有编号、协议、方向与频率。入向接口一律终结于接入层，出向接口一律发自服务层；没有例外通道。</w:t>
      </w:r>
    </w:p>
    <w:p>
      <w:pPr>
        <w:keepLines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393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-Fig3-2-External-Interface-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393673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微软雅黑" w:hAnsi="微软雅黑" w:eastAsia="微软雅黑"/>
          <w:b w:val="0"/>
          <w:color w:val="4B5563"/>
          <w:sz w:val="17"/>
        </w:rPr>
        <w:t>图 3-2  External Interface Topology   外部接口拓扑图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964"/>
        <w:gridCol w:w="2608"/>
        <w:gridCol w:w="1928"/>
        <w:gridCol w:w="2608"/>
        <w:gridCol w:w="1134"/>
      </w:tblGrid>
      <w:tr>
        <w:trPr>
          <w:tblHeader/>
        </w:trPr>
        <w:tc>
          <w:tcPr>
            <w:tcW w:type="dxa" w:w="96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type="dxa" w:w="260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链路</w:t>
            </w:r>
          </w:p>
        </w:tc>
        <w:tc>
          <w:tcPr>
            <w:tcW w:type="dxa" w:w="192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协议</w:t>
            </w:r>
          </w:p>
        </w:tc>
        <w:tc>
          <w:tcPr>
            <w:tcW w:type="dxa" w:w="260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方式与频率</w:t>
            </w:r>
          </w:p>
        </w:tc>
        <w:tc>
          <w:tcPr>
            <w:tcW w:type="dxa" w:w="113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状态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IF-01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归档库（SQL Server, archive 副本）至 迁移工具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TDS / TLS（FreeTDS 开源驱动链）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只读账号读副本库，一次性全量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待定范围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IF-02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DS 展示库 至 pg_read 连接器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wire / TLS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只读账号读基表，水位线增量，分钟级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已商定方式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IF-03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ICP 至 rest_api 连接器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 / REST-JSON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轮询，2 至 10 秒；鉴权方式待定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待接口文档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IF-04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外部 Kafka 至 kafka_consume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Kafka / SASL+TLS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消费者组；预留，上线时不启用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预留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IF-05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文件投递 至 file_drop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SFTP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到达即处理，带清单与校验和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设计完成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IF-06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客户反馈来源 至 接入层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待定（REST 或文件投递）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按反馈系统的形态确定；采集方与数据形态待确认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IF-07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包 至 接入层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 / REST-JSON 或 file_drop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推断结果回流，经标准接入契约进 raw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必须交付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IF-30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 门户与仪表板 至 用户浏览器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 / REST-JSON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交互式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设计完成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IF-31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指挥大屏 至 服务层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 + WSS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推送，2 至 10 秒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设计完成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IF-32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移动应用 至 服务层（经 DMZ 反向代理）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 + WSS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后续阶段，不在本次范围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已并入 IF-40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IF-33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对外数据服务与 ESB 适配器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 / REST-JSON + ESB 适配器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警情与告警的 Web 服务；库结构的数据服务；按 ESB 规格实现的适配器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必须交付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IF-34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投递服务：报表与告警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SMTP 邮件网关 / 短信网关 / 门户内消息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按订阅计划与告警规则触发，含重试与回执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必须交付；两网关由总包商提供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IF-35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身份服务 至 MOI 目录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LDAPS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按需查询与同步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设计完成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IF-36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全部虚机 至 时钟源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NTP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 CAD、话务平台同源，漂移不超过 50 毫秒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待确认时钟源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IF-37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服务层 至 AI 包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 / REST-JSON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数据服务供数：宽表点查、批量导出、媒体关联索引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必须交付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IF-38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服务层 至 AI 包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 / REST-JSON（MCP 为第二种绑定）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语义目录与结构化查询；AI 包不生成 SQL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必须交付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IF-39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服务层 至 AI 包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 / REST-JSON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报表叙述块生成调用；异步或可降级，超时即跳过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必须交付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IF-40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移动应用 至 服务层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HTTPS，经 DMZ 反向代理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只读聚合看板；独立令牌受众、有效期与限流；记录级接口拒绝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本期交付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IF-41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展现层 至 HudHud 地图服务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HTTPS（内网）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嵌入式组件与底图瓦片，本地部署、可离线加载；本方提供聚合结果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设计完成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T-29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归档库的类型与字符集细节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 Server 版本；时间字段为 datetime、datetime2 还是 datetimeoffset；阿拉伯语字段为 nvarchar 还是带阿语 collation 的 varchar。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DS / 现有运维方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时间类型直接决定 RFP 2.7.7.5「保留原始时区」如何应答——源端若为 datetime 则时区信息本就不存在，须在迁移方案中如实表述而非等验收时发现（4.6.1 · 对应 IR-42）。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4B5563"/>
          <w:sz w:val="20"/>
        </w:rPr>
        <w:t>系统内部的组件间接口（连接器至 raw、服务层至分析副本、实时服务实例间同步等）不构成外部承诺，其协议在下表列出，报文与调用细节在详细设计中定义。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964"/>
        <w:gridCol w:w="4139"/>
        <w:gridCol w:w="3969"/>
      </w:tblGrid>
      <w:tr>
        <w:trPr>
          <w:tblHeader/>
        </w:trPr>
        <w:tc>
          <w:tcPr>
            <w:tcW w:type="dxa" w:w="96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type="dxa" w:w="413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链路</w:t>
            </w:r>
          </w:p>
        </w:tc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协议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IF-10</w:t>
            </w:r>
          </w:p>
        </w:tc>
        <w:tc>
          <w:tcPr>
            <w:tcW w:type="dxa" w:w="413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连接器 至 raw</w:t>
            </w:r>
          </w:p>
        </w:tc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libpq，批事务提交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IF-11</w:t>
            </w:r>
          </w:p>
        </w:tc>
        <w:tc>
          <w:tcPr>
            <w:tcW w:type="dxa" w:w="413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契约注册表 至 连接器与编排</w:t>
            </w:r>
          </w:p>
        </w:tc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部署时文件同步，库内只读副本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IF-12</w:t>
            </w:r>
          </w:p>
        </w:tc>
        <w:tc>
          <w:tcPr>
            <w:tcW w:type="dxa" w:w="413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批量编排 至 模型构建</w:t>
            </w:r>
          </w:p>
        </w:tc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进程调用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IF-14</w:t>
            </w:r>
          </w:p>
        </w:tc>
        <w:tc>
          <w:tcPr>
            <w:tcW w:type="dxa" w:w="413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实时状态服务 至 源系统</w:t>
            </w:r>
          </w:p>
        </w:tc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复用 IF-02 与 IF-03，独立连接池与配额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IF-15</w:t>
            </w:r>
          </w:p>
        </w:tc>
        <w:tc>
          <w:tcPr>
            <w:tcW w:type="dxa" w:w="413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实时服务实例间同步</w:t>
            </w:r>
          </w:p>
        </w:tc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LISTEN / NOTIFY，不引入新中间件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IF-16</w:t>
            </w:r>
          </w:p>
        </w:tc>
        <w:tc>
          <w:tcPr>
            <w:tcW w:type="dxa" w:w="413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服务层 至 数据库</w:t>
            </w:r>
          </w:p>
        </w:tc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libpq 经 pgBouncer，只读走分析副本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IF-18</w:t>
            </w:r>
          </w:p>
        </w:tc>
        <w:tc>
          <w:tcPr>
            <w:tcW w:type="dxa" w:w="413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服务层 至 对象存储</w:t>
            </w:r>
          </w:p>
        </w:tc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S3 over HTTPS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IF-19</w:t>
            </w:r>
          </w:p>
        </w:tc>
        <w:tc>
          <w:tcPr>
            <w:tcW w:type="dxa" w:w="413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服务层 至 身份服务</w:t>
            </w:r>
          </w:p>
        </w:tc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OIDC / JWT 校验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IF-20</w:t>
            </w:r>
          </w:p>
        </w:tc>
        <w:tc>
          <w:tcPr>
            <w:tcW w:type="dxa" w:w="413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全组件 至 监控</w:t>
            </w:r>
          </w:p>
        </w:tc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 指标端点，拉取式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3.4  用户界面与管理界面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964"/>
        <w:gridCol w:w="1701"/>
        <w:gridCol w:w="6236"/>
      </w:tblGrid>
      <w:tr>
        <w:trPr>
          <w:tblHeader/>
        </w:trPr>
        <w:tc>
          <w:tcPr>
            <w:tcW w:type="dxa" w:w="96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界面</w:t>
            </w:r>
          </w:p>
        </w:tc>
        <w:tc>
          <w:tcPr>
            <w:tcW w:type="dxa" w:w="6236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U-01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 门户</w:t>
            </w:r>
          </w:p>
        </w:tc>
        <w:tc>
          <w:tcPr>
            <w:tcW w:type="dxa" w:w="623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自建外壳，Superset 作为后端查询引擎不直接暴露给用户。报表目录、参数化查询、自助分析、导出、订阅管理。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U-02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仪表板</w:t>
            </w:r>
          </w:p>
        </w:tc>
        <w:tc>
          <w:tcPr>
            <w:tcW w:type="dxa" w:w="623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门户内，20 个预置加自定义（RFP 1.6.2.25）。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U-03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指挥大屏</w:t>
            </w:r>
          </w:p>
        </w:tc>
        <w:tc>
          <w:tcPr>
            <w:tcW w:type="dxa" w:w="623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 Web 应用，长连接，无人值守自恢复。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U-04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移动应用</w:t>
            </w:r>
          </w:p>
        </w:tc>
        <w:tc>
          <w:tcPr>
            <w:tcW w:type="dxa" w:w="623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本期交付。原生薄壳内嵌移动专用布局，经 MOI 既有 MDM 分发；仅主管与管理员；只读，仅封账聚合指标，无记录级下钻、媒体访问与导出。见 8.4。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4B5563"/>
          <w:sz w:val="20"/>
        </w:rPr>
        <w:t>管理界面共十一个，见第 9 章与图 9-1。</w:t>
      </w:r>
    </w:p>
    <w:p>
      <w:r>
        <w:br w:type="page"/>
      </w:r>
    </w:p>
    <w:p>
      <w:pPr>
        <w:pStyle w:val="Heading1"/>
      </w:pPr>
      <w:r>
        <w:t>4  数据接入框架</w:t>
      </w:r>
    </w:p>
    <w:p>
      <w:pPr>
        <w:pStyle w:val="Heading2"/>
      </w:pPr>
      <w:r>
        <w:t>4.1  三层切分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接入框架的设计目标是：外部方的答复尚未到位时，设计也能定稿；答复到位后，改动落在配置而不是代码上。为此把接入拆成三层，界线是"配置管取数的机械动作，代码与 SQL 管语义"。</w:t>
      </w:r>
    </w:p>
    <w:p>
      <w:pPr>
        <w:keepLines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8912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-Fig4-1-Ingestion-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1272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微软雅黑" w:hAnsi="微软雅黑" w:eastAsia="微软雅黑"/>
          <w:b w:val="0"/>
          <w:color w:val="4B5563"/>
          <w:sz w:val="17"/>
        </w:rPr>
        <w:t>图 4-1  Ingestion Framework and Runtime Flow   接入框架与运行时流程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新增一个数据源的工作量是：一段 YAML 契约加一个 staging 模型，不写新的 DAG 代码。批量编排的 DAG 由注册表动态生成。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5309"/>
          <w:left w:val="single" w:sz="4" w:space="0" w:color="B45309"/>
          <w:bottom w:val="single" w:sz="4" w:space="0" w:color="B45309"/>
          <w:right w:val="single" w:sz="4" w:space="0" w:color="B45309"/>
          <w:insideH w:val="single" w:sz="4" w:space="0" w:color="B45309"/>
          <w:insideV w:val="single" w:sz="4" w:space="0" w:color="B45309"/>
        </w:tblBorders>
      </w:tblPr>
      <w:tblGrid>
        <w:gridCol w:w="9298"/>
      </w:tblGrid>
      <w:tr>
        <w:tc>
          <w:tcPr>
            <w:tcW w:type="dxa" w:w="9298"/>
            <w:shd w:val="clear" w:fill="FDF4E7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B45309"/>
                <w:sz w:val="20"/>
              </w:rPr>
              <w:t>一条刻意的限制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契约中不引入表达式或转换语言。一旦允许在 YAML 里写 upper(trim(col)) 这样的内容，配置文件就会逐步变成一门没有测试、没有调试器、也没有人愿意维护的编程语言。所有转换写在 dbt 模型里，接受评审与测试。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>4.2  接入契约字段规范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928"/>
        <w:gridCol w:w="3175"/>
        <w:gridCol w:w="3742"/>
      </w:tblGrid>
      <w:tr>
        <w:trPr>
          <w:tblHeader/>
        </w:trPr>
        <w:tc>
          <w:tcPr>
            <w:tcW w:type="dxa" w:w="192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字段</w:t>
            </w:r>
          </w:p>
        </w:tc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含义</w:t>
            </w:r>
          </w:p>
        </w:tc>
        <w:tc>
          <w:tcPr>
            <w:tcW w:type="dxa" w:w="3742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取值 / 默认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source_id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数据源标识，全局唯一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如 ds_cad.incident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connector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连接器类型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pg_read / mssql_read / rest_api / kafka_consume / file_drop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target_raw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raw 层目标表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如 raw.ds_cad__incident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watermark.field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水位线字段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源系统字段名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watermark.type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水位线类型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timestamptz / sequence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watermark.lookback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回看窗口，用于兜底提交乱序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 15 分钟；type 为 sequence 时可为 0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idempotency_key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幂等键，用于去重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字段列表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soft_delete_field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软删除标志字段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无则须由变更日志表替代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late_window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迟到数据接受窗口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 7 天，超出进修正表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schedule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调度周期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cron 表达式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batch_size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单批行数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 5000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expectations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批级校验规则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not_null / unique / domain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on_violation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校验不通过时的动作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quarantine（默认）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contract_version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契约版本号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整数，随契约变更递增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enabled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启停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true / false，可运行时热调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注册表的权威副本在 Git，库内表为部署时同步的只读缓存。结构性字段（水位线、幂等键、目标表、契约版本）的变更须走发布流程；运行参数（启停、调度间隔、批大小、限流）可运行时热调，但带审计留痕。这样区分的原因很实际：源系统压力突增时需要立即降低轮询频率，这不能等发布窗口；而水位线字段的更换如果能在生产界面上点一下完成，出了问题就无法查清当时的规则。</w:t>
      </w:r>
    </w:p>
    <w:p>
      <w:pPr>
        <w:pStyle w:val="Heading2"/>
      </w:pPr>
      <w:r>
        <w:t>4.3  语义映射与三态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DS 展示库的字段名多为缩写，数据字典可以取得，但并非每个取值的含义都清楚。本设计不要求字典先完成再开工，而是把"以后再澄清"落成一套可管理的机制。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814"/>
        <w:gridCol w:w="4082"/>
        <w:gridCol w:w="2948"/>
      </w:tblGrid>
      <w:tr>
        <w:trPr>
          <w:tblHeader/>
        </w:trPr>
        <w:tc>
          <w:tcPr>
            <w:tcW w:type="dxa" w:w="181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状态</w:t>
            </w:r>
          </w:p>
        </w:tc>
        <w:tc>
          <w:tcPr>
            <w:tcW w:type="dxa" w:w="4082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含义</w:t>
            </w:r>
          </w:p>
        </w:tc>
        <w:tc>
          <w:tcPr>
            <w:tcW w:type="dxa" w:w="294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允许的使用方式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verified</w:t>
            </w:r>
          </w:p>
        </w:tc>
        <w:tc>
          <w:tcPr>
            <w:tcW w:type="dxa" w:w="408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已验证：有验证样例，用一起真实警情从源系统界面追到我方计算结果，两边一致。</w:t>
            </w:r>
          </w:p>
        </w:tc>
        <w:tc>
          <w:tcPr>
            <w:tcW w:type="dxa" w:w="294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可用于任何对外发布的指标。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mapped_unverified</w:t>
            </w:r>
          </w:p>
        </w:tc>
        <w:tc>
          <w:tcPr>
            <w:tcW w:type="dxa" w:w="408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已映射未验证：映射已写，含义基于推断。</w:t>
            </w:r>
          </w:p>
        </w:tc>
        <w:tc>
          <w:tcPr>
            <w:tcW w:type="dxa" w:w="294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可用于探索性分析；进入对外指标时该指标必须带标记。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unknown</w:t>
            </w:r>
          </w:p>
        </w:tc>
        <w:tc>
          <w:tcPr>
            <w:tcW w:type="dxa" w:w="408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未知：不知道含义，未被任何模型使用。</w:t>
            </w:r>
          </w:p>
        </w:tc>
        <w:tc>
          <w:tcPr>
            <w:tcW w:type="dxa" w:w="294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不使用。但数据已在 raw 层，将来澄清后可重算全部历史。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每个在范围内的列都必须有一行登记，结构漂移检测发现的新列默认落 unknown。空白与未知的区别在于：空白会被遗忘，未知会被统计并排期。</w:t>
      </w:r>
    </w:p>
    <w:p>
      <w:pPr>
        <w:pStyle w:val="Heading3"/>
      </w:pPr>
      <w:r>
        <w:t>4.3.1  值剖析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对所有代码与枚举字段持续做取值剖析，记录不同取值、各自占比、首次出现与最近出现时间。它同时解决三个问题：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把"字典没写清楚"变成有限且可排序的问题清单。向 DS 提问的方式不是"这一列是什么意思"，而是"这一列有 7 个取值，A、B、C 合计占 98%，请确认这三个的含义，其余四个各自占比不足 0.3%，可以后议"。这种问法拿到答复的概率高得多。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发现后来新增的代码值。第三年 CAD 增加一个新的警情类别，一次性字典永远发现不了，剖析器在当天就会报出来。这是长期最容易吃亏的地方。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为"先处理需要用的"提供优先级依据。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未映射的取值不得静默归入"其他"，而是落到显式的未映射桶，在 M-03 界面可见，日占比超过阈值（建议 0.5%）即告警。把未知悄悄折进"Other"，是报表变得安静地错掉的最常见原因。</w:t>
      </w:r>
    </w:p>
    <w:p>
      <w:pPr>
        <w:pStyle w:val="Heading2"/>
      </w:pPr>
      <w:r>
        <w:t>4.4  结构漂移检测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每次拉取前抓取源库的结构快照并与上次比对。结构发生变化时隔离该批数据并告警，绝不带着未知变更继续向下计算。实现成本很低，但它消灭的是最难排查的一类故障：外部系统升级后，数据仍在流动，数字却已经不对。</w:t>
      </w:r>
    </w:p>
    <w:p>
      <w:pPr>
        <w:pStyle w:val="Heading2"/>
      </w:pPr>
      <w:r>
        <w:t>4.5  重放与补数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水位线与运行状态独立于契约存储，因此可以把某个数据源的水位重置到指定位置重新拉取。raw 层原样保留且不被覆盖，配合 run_id 与 contract_version 打标，可以准确回答"这条数据是哪一次运行、按第几版契约、从哪个水位进来的"。口径变更、映射修正与迟到数据的处理，全部通过重建上层完成，不修改 raw。</w:t>
      </w:r>
    </w:p>
    <w:p>
      <w:pPr>
        <w:pStyle w:val="Heading2"/>
      </w:pPr>
      <w:r>
        <w:t>4.6  各数据源的接入方式</w:t>
      </w:r>
    </w:p>
    <w:p>
      <w:pPr>
        <w:pStyle w:val="Heading3"/>
      </w:pPr>
      <w:r>
        <w:t>4.6.1  归档库（IF-01）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旧系统的历史数据一次性全量迁入，迁移完成并通过对账后旧系统下线，本接口随之停用。归档库为 SQL Server（Hexagon 原生），读取的是 archive 副本库而非生产库——这样迁移对现有环境的运行、技术、系统与数据均无影响（REQ-MIG-05）。跨库接入新增 mssql_read 连接器与开源 TDS 驱动链（DD-52）。迁移的起始年份为 2016 年，对账口径见交接包 DD-37。</w:t>
      </w:r>
    </w:p>
    <w:p>
      <w:pPr>
        <w:pStyle w:val="Heading3"/>
      </w:pPr>
      <w:r>
        <w:t>4.6.2  DS CAD 展示库（IF-02）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采用只读账号访问展示库基表、按水位线增量拉取、原样落 raw 的方式，语义映射在我方 staging 层完成。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曾考虑的另一方案是由我方定义表结构、DS 按此结构写入。该方案未被采用，原因是：语义映射的工作量在两个方案里相同，区别只在于由谁完成、在哪一侧、出错后能否被检验和修复。由 DS 写入意味着映射逻辑在其程序内部，我方无法查看、无法测试、无法修复，却要承担结果的正确性责任。更重要的是，该方案会使 raw 层不复存在——外部方只写入我方定义的那些列，未被定义的字段根本不会进来，将来理解了也没有历史数据可补；同时也失去了在数据争议中自证的能力。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本接口需要 DS 提供的输入，列在第 14 章依赖项中：数据字典（含代码值含义）、水位线字段与是否存在递增序号、软删除或变更日志的表达方式、可重放窗口、结构变更的通知承诺、只读账号与负载约束。</w:t>
      </w:r>
    </w:p>
    <w:p>
      <w:pPr>
        <w:pStyle w:val="Heading3"/>
      </w:pPr>
      <w:r>
        <w:t>4.6.3  ICP 话务平台（IF-03）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ICP 仅提供 REST 接口，不提供数据库复制能力。接口文档尚未取得，因此本设计按两种形态分别定义，接口文档到位后选择其一落地，不需要返工。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2041"/>
        <w:gridCol w:w="3628"/>
        <w:gridCol w:w="3175"/>
      </w:tblGrid>
      <w:tr>
        <w:trPr>
          <w:tblHeader/>
        </w:trPr>
        <w:tc>
          <w:tcPr>
            <w:tcW w:type="dxa" w:w="204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形态</w:t>
            </w:r>
          </w:p>
        </w:tc>
        <w:tc>
          <w:tcPr>
            <w:tcW w:type="dxa" w:w="362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实现方式</w:t>
            </w:r>
          </w:p>
        </w:tc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对指标精度的影响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提供历史事件接口</w:t>
            </w:r>
          </w:p>
        </w:tc>
        <w:tc>
          <w:tcPr>
            <w:tcW w:type="dxa" w:w="36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拉取事件流，按事件精确计算坐席状态时长与话务过程指标。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精度不受轮询周期限制。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仅提供当前状态快照</w:t>
            </w:r>
          </w:p>
        </w:tc>
        <w:tc>
          <w:tcPr>
            <w:tcW w:type="dxa" w:w="36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按轮询周期采样，状态时长由采样点推算。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单次状态时长误差最大为一个轮询周期；日累计误差随状态切换次数放大。此形态下，坐席状态时长类指标须在报表上标注测量方式。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另需注意，ICP 没有第二条技术通道可用于交叉验证，因此话务类指标的对账只能与话务平台自身的报表比对，对账规则在 6.4 定义。</w:t>
      </w:r>
    </w:p>
    <w:p>
      <w:pPr>
        <w:pStyle w:val="Heading3"/>
      </w:pPr>
      <w:r>
        <w:t>4.6.4  外部 Kafka（IF-04）与文件投递（IF-05）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本系统不自建 Kafka 代理，但保留消费能力。上线时不启用，契约（主题命名、消息格式、幂等键、位点语义）先行定义，避免将来接入时才发现语义不兼容。文件投递作为人工与兜底通道，要求随文件提供清单与校验和。</w:t>
      </w:r>
    </w:p>
    <w:p>
      <w:r>
        <w:br w:type="page"/>
      </w:r>
    </w:p>
    <w:p>
      <w:pPr>
        <w:pStyle w:val="Heading1"/>
      </w:pPr>
      <w:r>
        <w:t>5  数据模型与分层</w:t>
      </w:r>
    </w:p>
    <w:p>
      <w:pPr>
        <w:pStyle w:val="Heading2"/>
      </w:pPr>
      <w:r>
        <w:t>5.1  schema 链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物理上只有一个数据库集群实例，满足 RFP 1.6.2.3。分层是 schema 级的逻辑隔离，不是多个数据库实例。物理上真正分离的只有读写：写入走主库，全部查询走分析副本。</w:t>
      </w:r>
    </w:p>
    <w:p>
      <w:pPr>
        <w:keepLines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49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-Fig5-1-Data-Laye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49528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微软雅黑" w:hAnsi="微软雅黑" w:eastAsia="微软雅黑"/>
          <w:b w:val="0"/>
          <w:color w:val="4B5563"/>
          <w:sz w:val="17"/>
        </w:rPr>
        <w:t>图 5-1  Data Layering and Subject Domains   数据分层与主题域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134"/>
        <w:gridCol w:w="1247"/>
        <w:gridCol w:w="4876"/>
        <w:gridCol w:w="1587"/>
      </w:tblGrid>
      <w:tr>
        <w:trPr>
          <w:tblHeader/>
        </w:trPr>
        <w:tc>
          <w:tcPr>
            <w:tcW w:type="dxa" w:w="113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schema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层</w:t>
            </w:r>
          </w:p>
        </w:tc>
        <w:tc>
          <w:tcPr>
            <w:tcW w:type="dxa" w:w="4876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内容</w:t>
            </w:r>
          </w:p>
        </w:tc>
        <w:tc>
          <w:tcPr>
            <w:tcW w:type="dxa" w:w="158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可否重建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raw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原始落地</w:t>
            </w:r>
          </w:p>
        </w:tc>
        <w:tc>
          <w:tcPr>
            <w:tcW w:type="dxa" w:w="487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与源系统逐字一致，附完整原始载荷（JSONB）与接入元数据。</w:t>
            </w:r>
          </w:p>
        </w:tc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不可，为源头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staging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清洗</w:t>
            </w:r>
          </w:p>
        </w:tc>
        <w:tc>
          <w:tcPr>
            <w:tcW w:type="dxa" w:w="487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类型规范、去重、软删除与迟到处理、语义映射。一源一模型，不做跨源关联。</w:t>
            </w:r>
          </w:p>
        </w:tc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核心模型</w:t>
            </w:r>
          </w:p>
        </w:tc>
        <w:tc>
          <w:tcPr>
            <w:tcW w:type="dxa" w:w="487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跨源整合的事实与维度，缓变维 Type 2，日切版本与修正标记。含 fact_ai_inference（AI 包回流的推断结果，带模型标识、版本、推理时间与置信度，与业务事实分表）。事实表带警情坐标与网格键，供热点聚合。</w:t>
            </w:r>
          </w:p>
        </w:tc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mart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主题层</w:t>
            </w:r>
          </w:p>
        </w:tc>
        <w:tc>
          <w:tcPr>
            <w:tcW w:type="dxa" w:w="487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面向报表与仪表板的聚合，按五个主题域分组。</w:t>
            </w:r>
          </w:p>
        </w:tc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数据层</w:t>
            </w:r>
          </w:p>
        </w:tc>
        <w:tc>
          <w:tcPr>
            <w:tcW w:type="dxa" w:w="487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实体级宽表、特征表、媒体索引、导出快照。</w:t>
            </w:r>
          </w:p>
        </w:tc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meta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元数据</w:t>
            </w:r>
          </w:p>
        </w:tc>
        <w:tc>
          <w:tcPr>
            <w:tcW w:type="dxa" w:w="487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接入契约、映射登记、指标注册、血缘、水位与运行状态、值剖析、待澄清队列。另含时间轴上的 schema 版本登记表（归档多版本归一化）、坐标系三项配置、以及字段可见性矩阵与部门映射表。</w:t>
            </w:r>
          </w:p>
        </w:tc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不可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审计</w:t>
            </w:r>
          </w:p>
        </w:tc>
        <w:tc>
          <w:tcPr>
            <w:tcW w:type="dxa" w:w="487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访问与导出留痕，只增不改。</w:t>
            </w:r>
          </w:p>
        </w:tc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不可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5.2  主题域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814"/>
        <w:gridCol w:w="7030"/>
      </w:tblGrid>
      <w:tr>
        <w:trPr>
          <w:tblHeader/>
        </w:trPr>
        <w:tc>
          <w:tcPr>
            <w:tcW w:type="dxa" w:w="181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主题域</w:t>
            </w:r>
          </w:p>
        </w:tc>
        <w:tc>
          <w:tcPr>
            <w:tcW w:type="dxa" w:w="7030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覆盖内容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接警话务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呼入、排队、应答、放弃、坐席状态与工作量、通话过程指标。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警情处置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警情受理、分类、派单、到场、处置、结案的全过程与各环节时长。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资源与勤务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>
              <w:t>坐席与处置单位的在岗、班次、可用资源状态。勤务级别客户现未使用，接口自 CAD 保留为非必选项。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绩效与质量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>
              <w:t>服务水平、响应时长分布、异常事件。复核与质检属 IRMS（RFP 2.3.9.7），不在本系统范围。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系统运行</w:t>
            </w:r>
          </w:p>
        </w:tc>
        <w:tc>
          <w:tcPr>
            <w:tcW w:type="dxa" w:w="703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可用性、接口延迟、数据质量、作业执行情况——即服务水平举证数据。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5.3  缓变维策略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维度按"当时"记录，即缓变维 Type 2。以调度员在三月从 A 班组调至 B 班组为例：一月的警情始终计入 A 班组，因为当时他在 A 班组。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这样选择的理由不是技术偏好，而是：若按"当前"记录，去年打印的报表在今年重跑会得出不同的数字。在绩效考核与事后复盘的场景下，报表的公信力比模型的简洁更重要。同样的处理适用于单位改名、辖区调整与警情分类体系变更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代价是维度表需存生效与失效时间，事实关联到当时那一版维度，模型与查询略复杂。</w:t>
      </w:r>
    </w:p>
    <w:p>
      <w:pPr>
        <w:pStyle w:val="Heading2"/>
      </w:pPr>
      <w:r>
        <w:t>5.4  关联键与粒度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CAD 与 ICP 之间存在两侧统一的通话标识，这使从振铃到出警的全过程指标成为可能——这类指标是 911 业务分析中价值最高的部分。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两个建模细节需要在详细设计前用真实数据验证：一是一起警情是否可能关联多个通话（回拨、转接、同一事件多人报警），这决定事实表的粒度是 1 对 1 还是 1 对多；二是非电话渠道产生的警情（自建、巡逻发现）是否没有通话标识，这决定关联的可选性与统计口径中的分母定义。两者列入第 14 章。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所有事实表带 dim_site 维度并使用全局唯一主键，为多站扩展预留（第 13 章）。</w:t>
      </w:r>
    </w:p>
    <w:p>
      <w:pPr>
        <w:pStyle w:val="Heading2"/>
      </w:pPr>
      <w:r>
        <w:t>5.5  分区、保留与归档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020"/>
        <w:gridCol w:w="1474"/>
        <w:gridCol w:w="1928"/>
        <w:gridCol w:w="4535"/>
      </w:tblGrid>
      <w:tr>
        <w:trPr>
          <w:tblHeader/>
        </w:trPr>
        <w:tc>
          <w:tcPr>
            <w:tcW w:type="dxa" w:w="1020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层</w:t>
            </w:r>
          </w:p>
        </w:tc>
        <w:tc>
          <w:tcPr>
            <w:tcW w:type="dxa" w:w="147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分区</w:t>
            </w:r>
          </w:p>
        </w:tc>
        <w:tc>
          <w:tcPr>
            <w:tcW w:type="dxa" w:w="192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在线保留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raw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按天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合同期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压缩存储；不参与查询，仅供重建与举证。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按天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全部历史在线（温层）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在线保留全周期；历史分区可转为压缩存储。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mart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按天 / 按月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近一年为热层，其余为温层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可从 core 重建，故障时以重建为恢复手段。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按天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按需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可重建；导出快照另行留痕。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audit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按月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与业务数据同期（待确认）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只增不改。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备份：离线五年、扩展离线八年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RFP 2.7.10.4.2 与 2.7.10.4.3 执行，与在线保留解耦。原「业务数据在线保留八年」为对该条的口径误读，已更正。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5.6  AI 数据层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ai 与 mart 平行，都从 core 构建。分开的理由有三条，合并的约束有一条。</w:t>
      </w:r>
    </w:p>
    <w:p>
      <w:pPr>
        <w:pStyle w:val="ListNumber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消费模式不同。主题层是"指标乘维度"的聚合切片，面向固定报表；AI 宽表是"一实体一行、字段极宽"，面向点查与全表批量扫描导出。两者的建模取向相反。</w:t>
      </w:r>
    </w:p>
    <w:p>
      <w:pPr>
        <w:pStyle w:val="ListNumber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演进节奏不同。报表口径变更须走口径评审，AI 特征增删是常态。把特征表放进主题层，等于让特征迭代去挤报表的变更窗口。</w:t>
      </w:r>
    </w:p>
    <w:p>
      <w:pPr>
        <w:pStyle w:val="ListNumber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权限与审计等级不同。AI 会用到警情描述原文、处置记录、位置以及关联的照片与录音，敏感度高于任何一张报表，须独立的权限域与审计口径。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唯一的合并约束是：ai 只能从 core 构建，不允许自行从 raw 另起加工链。否则同一个"上季度警情数"会出现两个数字，而且是我方内部制造的分裂。</w:t>
      </w:r>
    </w:p>
    <w:p>
      <w:pPr>
        <w:pStyle w:val="Heading2"/>
      </w:pPr>
      <w:r>
        <w:t>5.7  数据库副本与模型文档交付物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RFP 1.6.2.32 要求向 MOI 交付关系型数据库格式的完整库副本（非加密），并附字段、表、视图、过滤器与报表的定义与说明、数据字典与数据模型，全部以 Microsoft Office 格式提供。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本设计的实现方式是：数据字典与数据模型由库结构自动生成、由人工补充业务含义，随每次版本发布同步更新，而不是在交付前突击编写。本方为定制开发且基于开源组件，不存在 OEM 对库结构与内容的限制，因此该条对我方而言是优势项而非负担。</w:t>
      </w:r>
    </w:p>
    <w:p>
      <w:pPr>
        <w:spacing w:before="0" w:after="80"/>
      </w:pPr>
    </w:p>
    <w:p>
      <w:pPr>
        <w:pStyle w:val="Heading2"/>
      </w:pPr>
      <w:r>
        <w:t>5.8  AI 数据层的定位说明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本系统负责把数据做成 AI 就绪：稳定的实体主键、清晰的时间语义、干净的文本、可靠的媒体关联、标准格式导出。AI 模型本身不在本范围内。若 AI 侧将来需要向量检索或列存引擎等专用能力，通过第 7.6 节的导出接口取数，不改变本系统的架构，也不进入本系统的数据库。</w:t>
      </w:r>
    </w:p>
    <w:p>
      <w:r>
        <w:br w:type="page"/>
      </w:r>
    </w:p>
    <w:p>
      <w:pPr>
        <w:pStyle w:val="Heading1"/>
      </w:pPr>
      <w:r>
        <w:t>6  指标与口径</w:t>
      </w:r>
    </w:p>
    <w:p>
      <w:pPr>
        <w:pStyle w:val="Heading2"/>
      </w:pPr>
      <w:r>
        <w:t>6.1  语义层与指标注册表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指标的定义、口径说明、维度、粒度与权威来源集中在指标注册表中，由语义与指标服务提供，是全项目指标定义的唯一事实来源。任何界面、报表或对外接口取用指标，都经由该服务解析，不允许在展现层各自写死计算逻辑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指挥大屏由本系统交付，不再存在第二块由其他供应商交付、独立计算同类指标的屏幕，因此指标权威在结构上成立，而不依赖协议约定。对外数据服务（IF-33）为必须交付项而非预留能力（见 7.7）；AI 包经 IF-38 取用语义目录与结构化查询，是已明确的消费方，其自然语言助手不得自行生成 SQL，以免在联合体内部制造第二套口径。</w:t>
      </w:r>
    </w:p>
    <w:p>
      <w:pPr>
        <w:pStyle w:val="Heading2"/>
      </w:pPr>
      <w:r>
        <w:t>6.2  三级数据新鲜度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系统有三条数据路径，延迟不同，权威性也不同。</w:t>
      </w:r>
    </w:p>
    <w:p>
      <w:pPr>
        <w:keepLines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847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-Fig6-1-Freshness-and-Day-clo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4755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微软雅黑" w:hAnsi="微软雅黑" w:eastAsia="微软雅黑"/>
          <w:b w:val="0"/>
          <w:color w:val="4B5563"/>
          <w:sz w:val="17"/>
        </w:rPr>
        <w:t>图 6-1  Data Freshness Tiers and the Day-close Rule   数据新鲜度分级与日切规则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474"/>
        <w:gridCol w:w="1361"/>
        <w:gridCol w:w="3061"/>
        <w:gridCol w:w="3175"/>
      </w:tblGrid>
      <w:tr>
        <w:trPr>
          <w:tblHeader/>
        </w:trPr>
        <w:tc>
          <w:tcPr>
            <w:tcW w:type="dxa" w:w="147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路径</w:t>
            </w:r>
          </w:p>
        </w:tc>
        <w:tc>
          <w:tcPr>
            <w:tcW w:type="dxa" w:w="136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延迟</w:t>
            </w:r>
          </w:p>
        </w:tc>
        <w:tc>
          <w:tcPr>
            <w:tcW w:type="dxa" w:w="306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数据来源</w:t>
            </w:r>
          </w:p>
        </w:tc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权威性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实时状态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 至 10 秒</w:t>
            </w:r>
          </w:p>
        </w:tc>
        <w:tc>
          <w:tcPr>
            <w:tcW w:type="dxa" w:w="30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直接轮询 ICP 与 DS 展示库，内存维护，不落库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指示性。不用于统计，不作为考核依据。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准实时聚合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1 分钟</w:t>
            </w:r>
          </w:p>
        </w:tc>
        <w:tc>
          <w:tcPr>
            <w:tcW w:type="dxa" w:w="30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按日桶重算当日分区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当日临时值，标注为未封账。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批量统计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小时 / 每日</w:t>
            </w:r>
          </w:p>
        </w:tc>
        <w:tc>
          <w:tcPr>
            <w:tcW w:type="dxa" w:w="30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完整模型构建，日切封账</w:t>
            </w:r>
          </w:p>
        </w:tc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权威值。报表与对外数据以此为准。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6.3  日切、封账与修正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按沙特时间（UTC+3）公历日切，每日以 00:00 AST 为界。dim_date 同时携带回历日期字段，以备朝觐相关分析与 MOI 内部习惯使用，成本接近于零。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日结在次日固定时刻封账并标记版本号。封账后到达的变更不修改历史快照，而是进入修正表并标记为下一版本，报表上体现为"含修正"。这条规则的目的只有一个：明年重印的报表与今天打印的一致。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封账机制同时是 RFP 1.6.2.4 中"实时数据为当日、历史数据为当日之前"的实现方式。</w:t>
      </w:r>
    </w:p>
    <w:p>
      <w:pPr>
        <w:pStyle w:val="Heading2"/>
      </w:pPr>
      <w:r>
        <w:t>6.4  实时口径与统计口径的对账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大屏上的数字与日结报表的数字必然不完全一致。这不是缺陷，而是两条路径的固有差异：前者是每隔数秒对另一系统的一次采样，后者是封账后经过完整清洗与对账的结果。本设计的立场是把这个差异写明，而不是让使用者自行发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701"/>
        <w:gridCol w:w="3855"/>
        <w:gridCol w:w="3288"/>
      </w:tblGrid>
      <w:tr>
        <w:trPr>
          <w:tblHeader/>
        </w:trPr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差异来源</w:t>
            </w:r>
          </w:p>
        </w:tc>
        <w:tc>
          <w:tcPr>
            <w:tcW w:type="dxa" w:w="385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  <w:tc>
          <w:tcPr>
            <w:tcW w:type="dxa" w:w="328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处理方式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采样间隔</w:t>
            </w:r>
          </w:p>
        </w:tc>
        <w:tc>
          <w:tcPr>
            <w:tcW w:type="dxa" w:w="385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实时路径按轮询周期采样，两次采样之间的状态变化不可见。</w:t>
            </w:r>
          </w:p>
        </w:tc>
        <w:tc>
          <w:tcPr>
            <w:tcW w:type="dxa" w:w="328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在界面标注数据时点；状态时长类指标标注测量方式。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迟到与修正</w:t>
            </w:r>
          </w:p>
        </w:tc>
        <w:tc>
          <w:tcPr>
            <w:tcW w:type="dxa" w:w="385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封账前后到达的更新会改变统计值，但不会改变已推送的实时值。</w:t>
            </w:r>
          </w:p>
        </w:tc>
        <w:tc>
          <w:tcPr>
            <w:tcW w:type="dxa" w:w="328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统计侧以版本号区分；实时侧不追溯。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清洗规则</w:t>
            </w:r>
          </w:p>
        </w:tc>
        <w:tc>
          <w:tcPr>
            <w:tcW w:type="dxa" w:w="385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实时路径不做去重与软删除处理，统计路径做。</w:t>
            </w:r>
          </w:p>
        </w:tc>
        <w:tc>
          <w:tcPr>
            <w:tcW w:type="dxa" w:w="328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差异纳入每日对账报告，超过阈值时告警。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来源系统自身口径</w:t>
            </w:r>
          </w:p>
        </w:tc>
        <w:tc>
          <w:tcPr>
            <w:tcW w:type="dxa" w:w="385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ICP 无第二技术通道，只能与话务平台自身报表比对。</w:t>
            </w:r>
          </w:p>
        </w:tc>
        <w:tc>
          <w:tcPr>
            <w:tcW w:type="dxa" w:w="328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每日自动比对总量类指标，差异记录并留痕。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6.5  指标成熟度标记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查询 API 的每一次响应携带四个元字段：口径版本、数据时点、封账状态（未封账 / 已封账 / 含修正）、是否依赖未验证映射。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这四个字段使我方给出的数字成为可以在会议上被辩护的数字：数值到达时同时带着产生它的规则，以及它有多确定。报表上体现为一行脚注。约束只有一条：未验证的映射可以进入探索性分析，不能不带标记地进入对外发布的指标。</w:t>
      </w:r>
    </w:p>
    <w:p>
      <w:r>
        <w:br w:type="page"/>
      </w:r>
    </w:p>
    <w:p>
      <w:pPr>
        <w:pStyle w:val="Heading1"/>
      </w:pPr>
      <w:r>
        <w:t>7  服务与接口</w:t>
      </w:r>
    </w:p>
    <w:p>
      <w:pPr>
        <w:pStyle w:val="Heading2"/>
      </w:pPr>
      <w:r>
        <w:t>7.1  两条数据出口路径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数据离开系统只有两条路径：同步的查询路径与异步的实时推送路径。两者使用不同的组件，承载不同的保证。</w:t>
      </w:r>
    </w:p>
    <w:p>
      <w:pPr>
        <w:keepLines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822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-Fig7-1-Query-and-Realtime-Path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82202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微软雅黑" w:hAnsi="微软雅黑" w:eastAsia="微软雅黑"/>
          <w:b w:val="0"/>
          <w:color w:val="4B5563"/>
          <w:sz w:val="17"/>
        </w:rPr>
        <w:t>图 7-1  Query Path and Realtime Push Path   查询路径与实时推送路径</w:t>
      </w:r>
    </w:p>
    <w:p>
      <w:pPr>
        <w:pStyle w:val="Heading2"/>
      </w:pPr>
      <w:r>
        <w:t>7.2  查询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701"/>
        <w:gridCol w:w="7143"/>
      </w:tblGrid>
      <w:tr>
        <w:trPr>
          <w:tblHeader/>
        </w:trPr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能力</w:t>
            </w:r>
          </w:p>
        </w:tc>
        <w:tc>
          <w:tcPr>
            <w:tcW w:type="dxa" w:w="714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查询语义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按指标、维度组合、过滤条件、时间范围与时间粒度查询；指标定义由语义层解析为 SQL。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执行位置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一律在分析副本执行，只读；任何情况下不触碰主库。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保护措施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并发限流、结果集上限、查询超时、结果缓存（按指标与参数指纹）。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响应元字段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口径版本、数据时点、封账状态、是否依赖未验证映射。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>
              <w:t>由身份与授权组件解析角色。两级数据权限下推：字段级可见性矩阵（服务端裁列）与行级部门过滤（调度员与主管按派驻部门，接警员与管理员不受限），本期均启用（10.2 · 10.3）。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性能目标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三档分层承诺。实时推送路径（大屏与实时看板）2 至 10 秒刷新、标注指示性，不适用亚秒要求；快速查询路径（近一年，mart 预聚合与缓存覆盖）端到端 95% 亚秒、峰值 99% 低于 2 秒，服务端目标 400 至 500 毫秒；历史查询路径（一年以上）允许秒级，超阈值转异步，界面明确提示。响应时间按 RFP 1.6.7.2 的定义测量（含前端渲染）。历史查询走独立低优先级配额，不得拖慢快速路径。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7.3  实时推送网关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实时状态服务以独立连接池短周期拉取源系统的当前状态，在内存中维护"此刻"视图并计算变化量，经 WebSocket 网关按角色过滤后推送。两个实例之间通过 PostgreSQL 的 LISTEN / NOTIFY 保持一致，不为此引入新的中间件。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客户端保存收到的最后一个序号。重连时提交该序号，网关回送一份完整的状态快照，而不是补发期间的全部事件。这样，一块中断两小时的大屏在一次往返后即恢复正确，无需人工干预。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1C1C"/>
          <w:left w:val="single" w:sz="4" w:space="0" w:color="B91C1C"/>
          <w:bottom w:val="single" w:sz="4" w:space="0" w:color="B91C1C"/>
          <w:right w:val="single" w:sz="4" w:space="0" w:color="B91C1C"/>
          <w:insideH w:val="single" w:sz="4" w:space="0" w:color="B91C1C"/>
          <w:insideV w:val="single" w:sz="4" w:space="0" w:color="B91C1C"/>
        </w:tblBorders>
      </w:tblPr>
      <w:tblGrid>
        <w:gridCol w:w="9298"/>
      </w:tblGrid>
      <w:tr>
        <w:tc>
          <w:tcPr>
            <w:tcW w:type="dxa" w:w="9298"/>
            <w:shd w:val="clear" w:fill="FDEEEE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B91C1C"/>
                <w:sz w:val="20"/>
              </w:rPr>
              <w:t>这条路径为什么不写数据库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实时状态是对另一个系统的观测，不是本系统自己的记录。把它落库会制造出同一批事实的第二个版本——更快，但更不可靠——而所有关于"哪个数字是对的"的争论都会从这里开始。因此它只存在于内存中，随进程结束而消失。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>7.4  报表渲染与分发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RFP 1.6.2.25 规定在各子系统预置报表之外，为每个 OSS911 中心定义并实现四十张自定义报表。本期范围为麦加一个中心，因此交付四十张。这是硬数量，为交付量下限；逐张的口径、参数与版式见交接包 HD-05。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需要在设计阶段书面澄清的一点是：RFP 1.6.2.18 与 1.6.2.28 另要求复刻现有麦加 911 中心的报表。本设计按"复刻项包含在四十张之内"编制，若 MOI 认为应另行计数，交付量将显著增加。此项列入第 14 章。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报表按语言各出一份，阿语版与英语版为两套模板，各自单向排版，不做阿英混排。这一决定显著降低了排版复杂度与缺陷风险。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随之而来的一个数据问题需要在实施期解决：报表中的维度取值（警情类别、处置单位、辖区名称）来自 CAD。若 CAD 只存一种语言，则阿语报表中会混入另一种语言的数据。因此需在数据字典阶段确认 CAD 维度表是否具备双语名称字段；若不具备，由我方在 M-10 基础数据维护中维护一张双语对照维度表。此项列入第 14 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701"/>
        <w:gridCol w:w="7143"/>
      </w:tblGrid>
      <w:tr>
        <w:trPr>
          <w:tblHeader/>
        </w:trPr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能力</w:t>
            </w:r>
          </w:p>
        </w:tc>
        <w:tc>
          <w:tcPr>
            <w:tcW w:type="dxa" w:w="714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输出格式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PDF、Word、Excel。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执行方式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异步任务，产物落对象存储，通过媒体服务以短时效凭证提供访问。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订阅分发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按计划生成并投递，含失败重试与投递回执。投递通道待确认（见第 14 章）。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模板管理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 M-05 中发布、下架、配置参数与可见范围。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7.5  媒体服务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对象存储不对客户端直接暴露。媒体服务负责鉴权、签发短时效访问凭证、记录访问留痕。现场照片、报表产物与 AI 导出文件均通过该服务访问。</w:t>
      </w:r>
    </w:p>
    <w:p>
      <w:pPr>
        <w:pStyle w:val="Heading2"/>
      </w:pPr>
      <w:r>
        <w:t>7.6  AI 数据服务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701"/>
        <w:gridCol w:w="7143"/>
      </w:tblGrid>
      <w:tr>
        <w:trPr>
          <w:tblHeader/>
        </w:trPr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能力</w:t>
            </w:r>
          </w:p>
        </w:tc>
        <w:tc>
          <w:tcPr>
            <w:tcW w:type="dxa" w:w="714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宽表查询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实体级宽表的点查与条件查询。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批量导出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 Parquet 或 CSV 落对象存储，供 AI 侧按批次提取。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媒体关联检索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结构化数据与对象存储中媒体对象的关联索引。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配额与审计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导出任务的配额限制、时段限制与完整审计留痕。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执行约束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批量扫描走分析副本、限流、错峰执行（非高峰时段），任何情况下不触碰主库。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若将来 AI 负载增长，扩展一个只读副本即可承载，扩容路径已在架构中预留。</w:t>
      </w:r>
    </w:p>
    <w:p>
      <w:pPr>
        <w:pStyle w:val="Heading2"/>
      </w:pPr>
      <w:r>
        <w:t>7.7  对外数据服务与 ESB 适配器（IF-33，必须交付）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RFP 在三处分别要求对外提供数据，因此这不是可选能力，而是必须交付项。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247"/>
        <w:gridCol w:w="3742"/>
        <w:gridCol w:w="3855"/>
      </w:tblGrid>
      <w:tr>
        <w:trPr>
          <w:tblHeader/>
        </w:trPr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条款</w:t>
            </w:r>
          </w:p>
        </w:tc>
        <w:tc>
          <w:tcPr>
            <w:tcW w:type="dxa" w:w="3742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要求</w:t>
            </w:r>
          </w:p>
        </w:tc>
        <w:tc>
          <w:tcPr>
            <w:tcW w:type="dxa" w:w="385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本设计的实现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1.6.2.29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将主要警情与告警信息及相关数据以 Web 服务形式提供，供其它 OSS911 与 MOI 应用消费</w:t>
            </w:r>
          </w:p>
        </w:tc>
        <w:tc>
          <w:tcPr>
            <w:tcW w:type="dxa" w:w="385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在查询 API 之上开放事件与告警的订阅与查询接口，响应携带与 7.2 相同的四个元字段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1.6.2.31.1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将各系统及相关数据库、数据结构、表、字段与参数以数据服务形式暴露</w:t>
            </w:r>
          </w:p>
        </w:tc>
        <w:tc>
          <w:tcPr>
            <w:tcW w:type="dxa" w:w="385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core 与 mart 的对外可见范围提供数据服务，带鉴权、限流与全程审计；不开放数据库直连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1.6.2.31.2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开发、提供并实施 ESB 所需的适配器，使外部应用能够访问本方数据仓库</w:t>
            </w:r>
          </w:p>
        </w:tc>
        <w:tc>
          <w:tcPr>
            <w:tcW w:type="dxa" w:w="385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ESB 规格实现适配器；接口清单与版本策略文档化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鉴权采用 OAuth2 客户端凭证，路径版本化。响应中的四个元字段（口径版本、数据时点、封账状态、是否依赖未验证映射）同样适用于对外调用方——这既是数据质量的声明，也是本方指标口径的技术表达。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5309"/>
          <w:left w:val="single" w:sz="4" w:space="0" w:color="B45309"/>
          <w:bottom w:val="single" w:sz="4" w:space="0" w:color="B45309"/>
          <w:right w:val="single" w:sz="4" w:space="0" w:color="B45309"/>
          <w:insideH w:val="single" w:sz="4" w:space="0" w:color="B45309"/>
          <w:insideV w:val="single" w:sz="4" w:space="0" w:color="B45309"/>
        </w:tblBorders>
      </w:tblPr>
      <w:tblGrid>
        <w:gridCol w:w="9298"/>
      </w:tblGrid>
      <w:tr>
        <w:tc>
          <w:tcPr>
            <w:tcW w:type="dxa" w:w="9298"/>
            <w:shd w:val="clear" w:fill="FDF4E7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B45309"/>
                <w:sz w:val="20"/>
              </w:rPr>
              <w:t>一项不由本方控制的依赖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ESB 由总包商提供。适配器的实现与联调时间取决于 ESB 的规格何时冻结，不由本方控制。该依赖已列入第 14 章，需在联合体内尽早明确。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</w:pPr>
      <w:r>
        <w:t>8  用户界面</w:t>
      </w:r>
    </w:p>
    <w:p>
      <w:pPr>
        <w:pStyle w:val="Heading2"/>
      </w:pPr>
      <w:r>
        <w:t>8.1  BI 门户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门户采用自建外壳，Superset 作为后端查询引擎，不直接暴露给用户。这样做多出两到三周工作量，换来的是：界面风格、阿语本地化与权限模型不必迁就第三方产品的约定，并且门户、仪表板、大屏与将来的移动端可以共用同一套视觉与交互体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701"/>
        <w:gridCol w:w="7143"/>
      </w:tblGrid>
      <w:tr>
        <w:trPr>
          <w:tblHeader/>
        </w:trPr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功能</w:t>
            </w:r>
          </w:p>
        </w:tc>
        <w:tc>
          <w:tcPr>
            <w:tcW w:type="dxa" w:w="714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报表目录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按主题域与角色组织，支持检索。四十张预置报表按五个主题域归类。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参数化查询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时间范围、辖区、单位、勤务级别等参数；结果带元字段脚注。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自助分析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基于语义层的指标与维度组合。默认路径不写 SQL。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受控 SQL 查询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RFP 1.6.2.15 要求可使用通用 SQL 生成简短报表。本系统提供受控的 SQL 能力：仅授权角色可见、只读、仅在分析副本执行、强制超时与结果集上限、全程审计。这是对"不绕过语义层"的唯一例外，以权限与审计约束，而非以禁止实现。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导出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Excel、CSV、PDF；导出行为写入审计。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订阅管理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自助订阅报表与投递计划。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记录检索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按受配置的有限条件集检索记录并即时调取（RFP 1.6.2.7）。条件必含时间范围且有跨度上限，结果集有硬上限。返回字段按角色的可见性矩阵裁剪，敏感字段需单独授权并写审计。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8.2  仪表板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二十个预置仪表板加自定义能力（RFP 1.6.2.25），覆盖五个主题域。当日数据显示为未封账状态并附标注，与第 6 章的口径规则一致。仪表板逐个的指标构成与刷新口径见交接包 HD-05。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其中三类需要专门说明：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实时共同作战图（RFP 1.6.2.27.1）：大屏主视图，2 至 10 秒刷新，标注为指示性数据。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热点与聚集区分析（RFP 1.6.5.7.5）：基于位置的警情聚集与热力呈现，算法与阈值在详细设计阶段与业务确认。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客户反馈看板（RFP 1.6.2.17）：将反馈纳入绩效度量；反馈数据的采集方与形态待确认，见第 14 章。</w:t>
      </w:r>
    </w:p>
    <w:p>
      <w:pPr>
        <w:pStyle w:val="Heading2"/>
      </w:pPr>
      <w:r>
        <w:t>8.3  指挥大屏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独立 Web 应用，长连接，无人值守自恢复。设计要点：断线自动重连并以快照方式恢复、渲染异常自动重载、无需操作员干预。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D4ED8"/>
          <w:left w:val="single" w:sz="4" w:space="0" w:color="1D4ED8"/>
          <w:bottom w:val="single" w:sz="4" w:space="0" w:color="1D4ED8"/>
          <w:right w:val="single" w:sz="4" w:space="0" w:color="1D4ED8"/>
          <w:insideH w:val="single" w:sz="4" w:space="0" w:color="1D4ED8"/>
          <w:insideV w:val="single" w:sz="4" w:space="0" w:color="1D4ED8"/>
        </w:tblBorders>
      </w:tblPr>
      <w:tblGrid>
        <w:gridCol w:w="9298"/>
      </w:tblGrid>
      <w:tr>
        <w:tc>
          <w:tcPr>
            <w:tcW w:type="dxa" w:w="9298"/>
            <w:shd w:val="clear" w:fill="F1F5F9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1D4ED8"/>
                <w:sz w:val="20"/>
              </w:rPr>
              <w:t>一项来自 POC 的输入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DS 曾提供一块 POC 大屏并已由 MOI 相关人员看过，其数据为写死的样例。该大屏不在交付范围内，本系统交付的大屏取代它。但相关人员的预期已被那个界面锚定，因此本系统大屏在功能覆盖上不应低于它。实施期需逐项核对 POC 界面上的每个元素是否有真实数据源支撑——写死的数字不需要数据源，真实实现需要。该核对清单列入第 14 章。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>8.4  移动应用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移动应用本期交付。此前列为后续阶段的理由是内政部专网不具备公网可达性、APNs 与 FCM 推送无法送达；该理由在详细设计阶段被推翻——系统设有 DMZ 区，具备 internet 访问能力与短信、邮件网关，应用可经 MOI 既有 MDM 分发，并通过 DMZ 反向代理访问内网服务层（IF-40）。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实际的处置结论不是恢复设备推送，而是重新界定移动端的定位：它是面向主管与管理员的管理看板，不是接警员与调度员的作业工具。因此不使用 APNs 与 FCM（内政部数据不经第三方服务转发），打开应用后主动拉取；只呈现封账后的聚合指标，不提供记录级下钻、媒体访问与导出，从而把数据分类政策的审批范围控制在统计数据一级；告警经短信与邮件网关送达（7.4 的投递服务），两个网关均由总包商提供，其故障不计入本方服务水平。形态为原生薄壳应用内嵌移动专用布局：共用服务层 API、设计系统与组件库，但布局与桌面门户分为两套，薄壳提供证书固定、设备注册与令牌吊销。移动端链路含公网段，不适用 1.6.7.5 的亚秒承诺，须在服务水平判定口径中单列或排除。按此形态交付，RFP 1.3.2.12.15 获正面响应。</w:t>
      </w:r>
    </w:p>
    <w:p>
      <w:pPr>
        <w:pStyle w:val="Heading2"/>
      </w:pPr>
      <w:r>
        <w:t>8.5  语言与本地化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701"/>
        <w:gridCol w:w="7143"/>
      </w:tblGrid>
      <w:tr>
        <w:trPr>
          <w:tblHeader/>
        </w:trPr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对象</w:t>
            </w:r>
          </w:p>
        </w:tc>
        <w:tc>
          <w:tcPr>
            <w:tcW w:type="dxa" w:w="714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处理方式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界面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阿语与英语双语，用户可切换；阿语界面为从右至左布局。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报表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按语言各出一份，不做混排（7.4）。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维度取值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若源系统仅提供单一语言，由 M-10 维护双语对照表（7.4）。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日期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公历为主，dim_date 携带回历字段以备使用（6.3）。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时区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统一沙特时间 UTC+3。</w:t>
            </w:r>
          </w:p>
        </w:tc>
      </w:tr>
    </w:tbl>
    <w:p>
      <w:pPr>
        <w:spacing w:before="0" w:after="140"/>
      </w:pPr>
    </w:p>
    <w:p>
      <w:r>
        <w:br w:type="page"/>
      </w:r>
    </w:p>
    <w:p>
      <w:pPr>
        <w:pStyle w:val="Heading1"/>
      </w:pPr>
      <w:r>
        <w:t>9  管理与运维</w:t>
      </w:r>
    </w:p>
    <w:p>
      <w:pPr>
        <w:pStyle w:val="Heading2"/>
      </w:pPr>
      <w:r>
        <w:t>9.1  管理界面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管理能力以十一个界面交付，全部是本系统的组成部分，而不是让运维人员去用数据库客户端。设计目标是：运维人员不打开数据库客户端就能回答三个问题——数据是不是最新的、可不可信、谁看过。</w:t>
      </w:r>
    </w:p>
    <w:p>
      <w:pPr>
        <w:keepLines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822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-Fig9-1-Management-Console-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82202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微软雅黑" w:hAnsi="微软雅黑" w:eastAsia="微软雅黑"/>
          <w:b w:val="0"/>
          <w:color w:val="4B5563"/>
          <w:sz w:val="17"/>
        </w:rPr>
        <w:t>图 9-1  Management Console Function Map   管理界面功能地图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964"/>
        <w:gridCol w:w="1928"/>
        <w:gridCol w:w="6009"/>
      </w:tblGrid>
      <w:tr>
        <w:trPr>
          <w:tblHeader/>
        </w:trPr>
        <w:tc>
          <w:tcPr>
            <w:tcW w:type="dxa" w:w="96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type="dxa" w:w="192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界面</w:t>
            </w:r>
          </w:p>
        </w:tc>
        <w:tc>
          <w:tcPr>
            <w:tcW w:type="dxa" w:w="600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主要能力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M-01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数据源接入</w:t>
            </w:r>
          </w:p>
        </w:tc>
        <w:tc>
          <w:tcPr>
            <w:tcW w:type="dxa" w:w="60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各源水位、最后成功时间、延迟、隔离条数、契约版本；运行参数热调（启停、间隔、批量、限流），带审计。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M-02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作业调度</w:t>
            </w:r>
          </w:p>
        </w:tc>
        <w:tc>
          <w:tcPr>
            <w:tcW w:type="dxa" w:w="60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运行历史、依赖视图、失败重跑、补数、SLA 告警。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M-03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数据质量</w:t>
            </w:r>
          </w:p>
        </w:tc>
        <w:tc>
          <w:tcPr>
            <w:tcW w:type="dxa" w:w="60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规则结果、隔离区查看与放行或丢弃、待澄清队列（按影响行数与受影响指标排序）、对账差异。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M-04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指标字典</w:t>
            </w:r>
          </w:p>
        </w:tc>
        <w:tc>
          <w:tcPr>
            <w:tcW w:type="dxa" w:w="60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指标定义、口径说明、血缘、变更历史。面向业务读者，只读。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M-05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报表与仪表板管理</w:t>
            </w:r>
          </w:p>
        </w:tc>
        <w:tc>
          <w:tcPr>
            <w:tcW w:type="dxa" w:w="60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发布与下架、参数、按角色的可见性、订阅与分发。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M-06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用户与权限</w:t>
            </w:r>
          </w:p>
        </w:tc>
        <w:tc>
          <w:tcPr>
            <w:tcW w:type="dxa" w:w="6009"/>
          </w:tcPr>
          <w:p>
            <w:pPr>
              <w:spacing w:after="40" w:before="40" w:line="283" w:lineRule="auto"/>
            </w:pPr>
            <w:r>
              <w:t>四个角色与 MOI 目录的映射；行级部门过滤的本地映射表维护（AD 就绪前的过渡权威），见 10.3。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M-07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审计查询</w:t>
            </w:r>
          </w:p>
        </w:tc>
        <w:tc>
          <w:tcPr>
            <w:tcW w:type="dxa" w:w="60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谁在何时查询或导出了什么。只增不改。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M-08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运行监控</w:t>
            </w:r>
          </w:p>
        </w:tc>
        <w:tc>
          <w:tcPr>
            <w:tcW w:type="dxa" w:w="60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可用性、复制延迟、查询时延分布、资源水位、告警。服务水平举证数据的存放处。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M-09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备份与恢复</w:t>
            </w:r>
          </w:p>
        </w:tc>
        <w:tc>
          <w:tcPr>
            <w:tcW w:type="dxa" w:w="60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备份状态、可恢复时间点、恢复演练记录。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M-10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基础数据维护</w:t>
            </w:r>
          </w:p>
        </w:tc>
        <w:tc>
          <w:tcPr>
            <w:tcW w:type="dxa" w:w="6009"/>
          </w:tcPr>
          <w:p>
            <w:pPr>
              <w:spacing w:after="40" w:before="40" w:line="283" w:lineRule="auto"/>
            </w:pPr>
            <w:r>
              <w:t>代码表、班次时间窗口定义、辖区与单位的本地属性；源系统仅有单语名称时的双语对照维护。不维护排班计划——班次为派生时间带（见 5 章）。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M-11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数据分类与发现</w:t>
            </w:r>
          </w:p>
        </w:tc>
        <w:tc>
          <w:tcPr>
            <w:tcW w:type="dxa" w:w="60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周期性扫描数据库与对象存储，识别敏感内容；分类标签的人工确认；标签驱动字段可见性默认值与脱敏规则对象清单。使用者为数据治理角色。扫描周期可配置。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9.2  两级配置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587"/>
        <w:gridCol w:w="3969"/>
        <w:gridCol w:w="3288"/>
      </w:tblGrid>
      <w:tr>
        <w:trPr>
          <w:tblHeader/>
        </w:trPr>
        <w:tc>
          <w:tcPr>
            <w:tcW w:type="dxa" w:w="158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类别</w:t>
            </w:r>
          </w:p>
        </w:tc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内容</w:t>
            </w:r>
          </w:p>
        </w:tc>
        <w:tc>
          <w:tcPr>
            <w:tcW w:type="dxa" w:w="328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变更方式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结构性配置</w:t>
            </w:r>
          </w:p>
        </w:tc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水位线字段、幂等键、目标表、契约版本、模型定义、指标口径</w:t>
            </w:r>
          </w:p>
        </w:tc>
        <w:tc>
          <w:tcPr>
            <w:tcW w:type="dxa" w:w="328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Git 提交与发布流程，可评审、可回滚、可复现历史运行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运行参数</w:t>
            </w:r>
          </w:p>
        </w:tc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启停、调度间隔、批大小、并发、限流阈值、告警阈值</w:t>
            </w:r>
          </w:p>
        </w:tc>
        <w:tc>
          <w:tcPr>
            <w:tcW w:type="dxa" w:w="328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管理界面热调，立即生效，带审计留痕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这样区分的原因是运维现实：凌晨源系统压力升高时需要立即降低轮询频率，这不能等发布窗口；而水位线字段这类规则若能在生产界面上随手更改，事后就无法查清当时使用的是哪一版规则。</w:t>
      </w:r>
    </w:p>
    <w:p>
      <w:pPr>
        <w:pStyle w:val="Heading2"/>
      </w:pPr>
      <w:r>
        <w:t>9.3  监控与告警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701"/>
        <w:gridCol w:w="7143"/>
      </w:tblGrid>
      <w:tr>
        <w:trPr>
          <w:tblHeader/>
        </w:trPr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类别</w:t>
            </w:r>
          </w:p>
        </w:tc>
        <w:tc>
          <w:tcPr>
            <w:tcW w:type="dxa" w:w="714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监控内容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可用性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数据库集群、服务层各组件、门户与大屏的可达性与响应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数据链路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各数据源的水位延迟、拉取成功率、隔离批次、结构漂移事件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数据质量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校验失败率、未映射取值占比、跨系统对账差异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作业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DAG 执行时长、失败与重试、SLA 违约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资源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CPU、内存、存储水位、连接数、复制延迟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时延分布（P50 / P95 / P99）、慢查询、超时与限流触发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监控数据独立留存、只增不改，保留期与考核期一致——这既是运维手段，也是第 11.6 节服务水平举证的证据来源。</w:t>
      </w:r>
    </w:p>
    <w:p>
      <w:pPr>
        <w:pStyle w:val="Heading2"/>
      </w:pPr>
      <w:r>
        <w:t>9.4  审计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查询与导出行为写入 audit schema，只增不改。911 数据的敏感度决定了"谁看过什么"必须可回溯。保留期按与业务数据同期（8 年）起草，待 MOI 合规要求确认。</w:t>
      </w:r>
    </w:p>
    <w:p>
      <w:r>
        <w:br w:type="page"/>
      </w:r>
    </w:p>
    <w:p>
      <w:pPr>
        <w:pStyle w:val="Heading1"/>
      </w:pPr>
      <w:r>
        <w:t>10  安全与权限</w:t>
      </w:r>
    </w:p>
    <w:p>
      <w:pPr>
        <w:pStyle w:val="Heading2"/>
      </w:pPr>
      <w:r>
        <w:t>10.1  身份联邦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通过 Keycloak 联邦 MOI 的 AD / LDAP 目录（IF-35），系统不自行保管用户口令。服务层以 OIDC 令牌校验身份，令牌中携带角色声明。</w:t>
      </w:r>
    </w:p>
    <w:p>
      <w:pPr>
        <w:pStyle w:val="Heading2"/>
      </w:pPr>
      <w:r>
        <w:t>10.2  角色模型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本中心的目录中仅有四个与本系统相关的角色。权限模型据此设计为纯角色访问控制。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701"/>
        <w:gridCol w:w="7143"/>
      </w:tblGrid>
      <w:tr>
        <w:trPr>
          <w:tblHeader/>
        </w:trPr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角色</w:t>
            </w:r>
          </w:p>
        </w:tc>
        <w:tc>
          <w:tcPr>
            <w:tcW w:type="dxa" w:w="714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典型权限范围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接警员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与本人相关的话务与警情视图、个人绩效；不按部门过滤（接所有来电）；不含全局绩效与管理界面。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调度员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警情处置相关视图与资源状态；按派驻部门过滤，仅见本部门数据；不含管理界面。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主管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业务报表与仪表板、大屏、班组与人员绩效；按派驻部门过滤；不含系统管理界面。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>
              <w:t>全部业务视图与管理界面 M-01 至 M-11。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（横切）字段级可见性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四个角色之上另有字段级可见性矩阵（角色 × 字段），在 M-06 配置，服务端裁列。默认取值由 MOI 数据分类政策确定（10.4 的前置门）。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10.3  行级安全（本期启用）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911 中心的调度员来自不同派驻部门，各自只应看到本部门数据；主管同样按部门划分；接警员接所有来电，不按部门过滤；管理员不受限。因此行级安全本期启用，而非此前判断的预留不启用。实现方式是启用已预留的机制：core 层事实表带 dim_site 与处置单位维度，身份与授权组件将部门归属解析为过滤条件下推。部门归属数据以 MOI 目录（AD）为长期权威、以 M-06 的本地映射表为过渡；编码以 CAD 的处置单位编码为准，任一用户映射不到有效编码时拒绝放行并告警，不得静默返回空结果。权限判定按当前部门，调岗后不再可见原部门的历史数据；统计口径仍按 5.3 关联当时的维度版本，两者正交。过滤须在查询 API、记录检索、导出、报表订阅分发、对外数据服务与 MCP 绑定全部生效——订阅分发以系统身份运行，须显式携带订阅人的部门上下文，是最易遗漏的一条。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此处印证了一条设计判断：机制预留的代价很小，而事后追加行级安全需要改动表结构与全部查询，属于重构级别的工作。本次由不启用转为启用，因维度与下推接口已经就位，属策略实现而非重构。另需说明，行级安全解决的是可见哪些行，字段级可见性矩阵（10.2）解决的是可见哪些列，两者不可互相替代。</w:t>
      </w:r>
    </w:p>
    <w:p>
      <w:pPr>
        <w:pStyle w:val="Heading2"/>
      </w:pPr>
      <w:r>
        <w:t>10.4  数据分级与脱敏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701"/>
        <w:gridCol w:w="7143"/>
      </w:tblGrid>
      <w:tr>
        <w:trPr>
          <w:tblHeader/>
        </w:trPr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环境</w:t>
            </w:r>
          </w:p>
        </w:tc>
        <w:tc>
          <w:tcPr>
            <w:tcW w:type="dxa" w:w="714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数据处理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完整数据，按角色访问，全部访问写审计。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 / 集成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生产数据子集，按数据分级策略脱敏（姓名、电话、精确位置、警情描述原文等）。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培训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匿名化数据集，不含任何可回溯到真实个人或真实警情的内容。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具体的分级与脱敏规则需依据 MOI 的数据分级政策确定，列入第 14 章。在取得政策前，按上表的原则起草规则并标注"待确认"。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1C1C"/>
          <w:left w:val="single" w:sz="4" w:space="0" w:color="B91C1C"/>
          <w:bottom w:val="single" w:sz="4" w:space="0" w:color="B91C1C"/>
          <w:right w:val="single" w:sz="4" w:space="0" w:color="B91C1C"/>
          <w:insideH w:val="single" w:sz="4" w:space="0" w:color="B91C1C"/>
          <w:insideV w:val="single" w:sz="4" w:space="0" w:color="B91C1C"/>
        </w:tblBorders>
      </w:tblPr>
      <w:tblGrid>
        <w:gridCol w:w="9298"/>
      </w:tblGrid>
      <w:tr>
        <w:tc>
          <w:tcPr>
            <w:tcW w:type="dxa" w:w="9298"/>
            <w:shd w:val="clear" w:fill="FDEEEE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B91C1C"/>
                <w:sz w:val="20"/>
              </w:rPr>
              <w:t>两项前置门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RFP 2.7.9.5 规定数据分类政策须经 MOI 批准后，方可在生产与培训环境实施任何数据库；2.7.9.11 规定 DLP 登记册须经 MOI 批准后，方可部署任何数据存储。这两项是关键路径上的里程碑前置条件，不是可以与开发并行推进的文档工作——未获批准，生产环境无法上线。且两者都需要与 MOI 共同制定，不是单向索取，因此启动时间应当早于通常的估计。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>10.5  传输与存储保护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所有外部接口使用 TLS；数据库连接使用 TLS；对象存储访问使用 HTTPS。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对象存储不向客户端直接暴露，一律经媒体服务签发短时效凭证访问。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数据库与备份存储启用静态加密（依赖平台能力，见第 14 章）。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服务间调用使用内部网络段，与用户流量、复制流量分离（NW-01）。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任何虚机不具备互联网出向访问（NW-03）。</w:t>
      </w:r>
    </w:p>
    <w:p>
      <w:pPr>
        <w:pStyle w:val="Heading2"/>
      </w:pPr>
      <w:r>
        <w:t>10.6  离线补丁与镜像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系统在无互联网访问的环境中运行（RFP 1.2.1.20）。所有操作系统与软件包通过内网镜像源分发；镜像内容的更新由离线介质导入并留痕。容器镜像同样由内部仓库提供，不从公网拉取。</w:t>
      </w:r>
    </w:p>
    <w:p>
      <w:r>
        <w:br w:type="page"/>
      </w:r>
    </w:p>
    <w:p>
      <w:pPr>
        <w:pStyle w:val="Heading1"/>
      </w:pPr>
      <w:r>
        <w:t>11  高可用与容灾</w:t>
      </w:r>
    </w:p>
    <w:p>
      <w:pPr>
        <w:pStyle w:val="Heading2"/>
      </w:pPr>
      <w:r>
        <w:t>11.1  服务水平目标与推论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RFP 1.5.2.9 规定数据库解决方案为服务等级 1（99.999%），BI、报表与仪表板为服务等级 2（99.99%），且按日考核。按日考核这一点是整个高可用设计的出发点：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928"/>
        <w:gridCol w:w="1247"/>
        <w:gridCol w:w="1361"/>
        <w:gridCol w:w="4309"/>
      </w:tblGrid>
      <w:tr>
        <w:trPr>
          <w:tblHeader/>
        </w:trPr>
        <w:tc>
          <w:tcPr>
            <w:tcW w:type="dxa" w:w="192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服务等级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可用性</w:t>
            </w:r>
          </w:p>
        </w:tc>
        <w:tc>
          <w:tcPr>
            <w:tcW w:type="dxa" w:w="136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每日容差</w:t>
            </w:r>
          </w:p>
        </w:tc>
        <w:tc>
          <w:tcPr>
            <w:tcW w:type="dxa" w:w="430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推论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等级 1（数据库）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99.999%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0.86 秒</w:t>
            </w:r>
          </w:p>
        </w:tc>
        <w:tc>
          <w:tcPr>
            <w:tcW w:type="dxa" w:w="43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任何需要人工介入的切换都不可能达标，必须自动切换；数据库层禁止资源超分。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等级 2（BI 与报表）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99.99%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8.64 秒</w:t>
            </w:r>
          </w:p>
        </w:tc>
        <w:tc>
          <w:tcPr>
            <w:tcW w:type="dxa" w:w="43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服务层各组件必须成对部署并分散在不同主机。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按月考核可以用一次长故障加二十九天正常来抵消，按日考核不能。这决定了本设计中若干看似保守的选择——同步复制、自动切换、禁止超分、禁止自动迁移——并不是保守，而是被考核方式直接推导出来的。</w:t>
      </w:r>
    </w:p>
    <w:p>
      <w:pPr>
        <w:pStyle w:val="Heading2"/>
      </w:pPr>
      <w:r>
        <w:t>11.2  复制策略与故障行为</w:t>
      </w:r>
    </w:p>
    <w:p>
      <w:pPr>
        <w:keepLines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7148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-Fig11-1-HA-Topolo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14876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微软雅黑" w:hAnsi="微软雅黑" w:eastAsia="微软雅黑"/>
          <w:b w:val="0"/>
          <w:color w:val="4B5563"/>
          <w:sz w:val="17"/>
        </w:rPr>
        <w:t>图 11-1  High Availability Topology and Failure Behaviour   高可用拓扑与故障行为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928"/>
        <w:gridCol w:w="3402"/>
        <w:gridCol w:w="3515"/>
      </w:tblGrid>
      <w:tr>
        <w:trPr>
          <w:tblHeader/>
        </w:trPr>
        <w:tc>
          <w:tcPr>
            <w:tcW w:type="dxa" w:w="192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节点</w:t>
            </w:r>
          </w:p>
        </w:tc>
        <w:tc>
          <w:tcPr>
            <w:tcW w:type="dxa" w:w="3402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角色</w:t>
            </w:r>
          </w:p>
        </w:tc>
        <w:tc>
          <w:tcPr>
            <w:tcW w:type="dxa" w:w="351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复制方式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PG-PRIMARY</w:t>
            </w:r>
          </w:p>
        </w:tc>
        <w:tc>
          <w:tcPr>
            <w:tcW w:type="dxa" w:w="34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写入，系统记录</w:t>
            </w:r>
          </w:p>
        </w:tc>
        <w:tc>
          <w:tcPr>
            <w:tcW w:type="dxa" w:w="351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PG-STANDBY</w:t>
            </w:r>
          </w:p>
        </w:tc>
        <w:tc>
          <w:tcPr>
            <w:tcW w:type="dxa" w:w="34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零数据丢失的切换目标</w:t>
            </w:r>
          </w:p>
        </w:tc>
        <w:tc>
          <w:tcPr>
            <w:tcW w:type="dxa" w:w="351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同步复制，RPO = 0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PG-REPLICA</w:t>
            </w:r>
          </w:p>
        </w:tc>
        <w:tc>
          <w:tcPr>
            <w:tcW w:type="dxa" w:w="340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承担全部报表与仪表板查询</w:t>
            </w:r>
          </w:p>
        </w:tc>
        <w:tc>
          <w:tcPr>
            <w:tcW w:type="dxa" w:w="351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异步复制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Patroni 是数据库角色变更的唯一权威。这一点必须在虚拟化平台层面得到配合：虚拟化平台的高可用重启机制不得自行判断并重启数据库虚机。两套独立的故障切换机制作用于同一集群，会切出双主，属于数据损坏级别的事故。</w:t>
      </w:r>
    </w:p>
    <w:p>
      <w:pPr>
        <w:pStyle w:val="Heading2"/>
      </w:pPr>
      <w:r>
        <w:t>11.3  RPO 与 RTO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701"/>
        <w:gridCol w:w="1928"/>
        <w:gridCol w:w="5216"/>
      </w:tblGrid>
      <w:tr>
        <w:trPr>
          <w:tblHeader/>
        </w:trPr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指标</w:t>
            </w:r>
          </w:p>
        </w:tc>
        <w:tc>
          <w:tcPr>
            <w:tcW w:type="dxa" w:w="192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目标值</w:t>
            </w:r>
          </w:p>
        </w:tc>
        <w:tc>
          <w:tcPr>
            <w:tcW w:type="dxa" w:w="5216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实现方式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RPO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521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主备同步复制，提交在备库落盘后才返回。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RTO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不超过 2 分钟</w:t>
            </w:r>
          </w:p>
        </w:tc>
        <w:tc>
          <w:tcPr>
            <w:tcW w:type="dxa" w:w="521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Patroni 自动检测与提升，应用经 HAProxy 重连，无人工步骤。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报表可用性降级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不中断</w:t>
            </w:r>
          </w:p>
        </w:tc>
        <w:tc>
          <w:tcPr>
            <w:tcW w:type="dxa" w:w="5216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分析副本失效时，报表查询转向同步备库以只读方式服务，性能下降但不停止。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11.4  同步复制的降级决策树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同步复制使每一次提交都等待网络往返与备库落盘。这一选择成立的前提是两项基础设施条件：主备之间往返时延不超过 1 毫秒（NW-02），数据库数据卷的 99 分位写入时延不超过 2 毫秒（ST-03）。若这两项条件在实际环境中无法满足，需要按下表决策，而不是在故障时临时判断。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928"/>
        <w:gridCol w:w="2608"/>
        <w:gridCol w:w="4309"/>
      </w:tblGrid>
      <w:tr>
        <w:trPr>
          <w:tblHeader/>
        </w:trPr>
        <w:tc>
          <w:tcPr>
            <w:tcW w:type="dxa" w:w="192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条件</w:t>
            </w:r>
          </w:p>
        </w:tc>
        <w:tc>
          <w:tcPr>
            <w:tcW w:type="dxa" w:w="260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决策</w:t>
            </w:r>
          </w:p>
        </w:tc>
        <w:tc>
          <w:tcPr>
            <w:tcW w:type="dxa" w:w="430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后果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两项条件均满足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维持同步复制（synchronous_commit = on）</w:t>
            </w:r>
          </w:p>
        </w:tc>
        <w:tc>
          <w:tcPr>
            <w:tcW w:type="dxa" w:w="43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RPO = 0，符合本设计的默认承诺。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时延轻度超标，写入吞吐仍可接受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降为 remote_write</w:t>
            </w:r>
          </w:p>
        </w:tc>
        <w:tc>
          <w:tcPr>
            <w:tcW w:type="dxa" w:w="43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备库收到但未必已落盘；备库主机瞬时掉电时可能丢失极少量已提交事务。须书面记录。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条件明显无法满足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改为异步复制</w:t>
            </w:r>
          </w:p>
        </w:tc>
        <w:tc>
          <w:tcPr>
            <w:tcW w:type="dxa" w:w="43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RPO 不再为 0，须重新协商服务水平承诺。此为需上报的决策，不由实施人员自行决定。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备库故障期间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临时降级，主库继续服务并告警</w:t>
            </w:r>
          </w:p>
        </w:tc>
        <w:tc>
          <w:tcPr>
            <w:tcW w:type="dxa" w:w="430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不允许因备库不可用而阻塞主库写入。备库恢复后自动回到同步状态。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11.5  备份与恢复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701"/>
        <w:gridCol w:w="7143"/>
      </w:tblGrid>
      <w:tr>
        <w:trPr>
          <w:tblHeader/>
        </w:trPr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项目</w:t>
            </w:r>
          </w:p>
        </w:tc>
        <w:tc>
          <w:tcPr>
            <w:tcW w:type="dxa" w:w="714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设计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备份方式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全量、增量与 WAL 归档，支持任意时间点恢复。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存储介质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独立于数据库数据存储（ST-02）。备份与其所保护的数据共享故障域，不构成备份。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恢复演练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定期演练并在 M-09 中留痕。未经演练的备份不计为有效备份。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对象存储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媒体对象独立备份策略，按容量与重要性分级。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配置与代码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>
              <w:t>开发侧 Git 为唯一权威；生产网内不部署代码仓库。契约、模型、指标定义、DDL 与部署脚本以带校验和的不可变发布制品存入对象存储，meta.release_registry 登记每次发布，历史版本不删除、可回滚，不依赖数据库备份（DD-49）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11.6  服务水平举证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本项目由我方自行举证服务水平达成情况。这可行，但成立的前提是判定口径不能同样由我方单方面决定，否则争议发生时一句"你的测量方法不算数"即可推翻全部数据。因此以下三项须在实施前取得总包商或 MOI 的书面认可。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701"/>
        <w:gridCol w:w="7143"/>
      </w:tblGrid>
      <w:tr>
        <w:trPr>
          <w:tblHeader/>
        </w:trPr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事项</w:t>
            </w:r>
          </w:p>
        </w:tc>
        <w:tc>
          <w:tcPr>
            <w:tcW w:type="dxa" w:w="714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需要确认的内容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探测点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从哪一侧发起探测、是否经过对方网络、探测频率。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失败判定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单次失败即计不可用，还是连续 N 次；响应超过多少毫秒计为失败。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数据留存</w:t>
            </w:r>
          </w:p>
        </w:tc>
        <w:tc>
          <w:tcPr>
            <w:tcW w:type="dxa" w:w="714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监控数据独立留存、只增不改、保留期与考核期一致。</w:t>
            </w:r>
          </w:p>
        </w:tc>
      </w:tr>
    </w:tbl>
    <w:p>
      <w:pPr>
        <w:spacing w:before="0" w:after="1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1C1C"/>
          <w:left w:val="single" w:sz="4" w:space="0" w:color="B91C1C"/>
          <w:bottom w:val="single" w:sz="4" w:space="0" w:color="B91C1C"/>
          <w:right w:val="single" w:sz="4" w:space="0" w:color="B91C1C"/>
          <w:insideH w:val="single" w:sz="4" w:space="0" w:color="B91C1C"/>
          <w:insideV w:val="single" w:sz="4" w:space="0" w:color="B91C1C"/>
        </w:tblBorders>
      </w:tblPr>
      <w:tblGrid>
        <w:gridCol w:w="9298"/>
      </w:tblGrid>
      <w:tr>
        <w:tc>
          <w:tcPr>
            <w:tcW w:type="dxa" w:w="9298"/>
            <w:shd w:val="clear" w:fill="FDEEEE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B91C1C"/>
                <w:sz w:val="20"/>
              </w:rPr>
              <w:t>一句直白的提醒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没有事先谈定判定口径的自证，等同于没有证据。建议将本节内容整理为接口文件，在实施启动前发给总包商确认。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</w:pPr>
      <w:r>
        <w:t>12  部署架构</w:t>
      </w:r>
    </w:p>
    <w:p>
      <w:pPr>
        <w:pStyle w:val="Heading2"/>
      </w:pPr>
      <w:r>
        <w:t>12.1  虚机资源需求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全部虚拟化部署，本项目不采购硬件，仅提出资源与放置要求。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474"/>
        <w:gridCol w:w="1134"/>
        <w:gridCol w:w="1020"/>
        <w:gridCol w:w="1361"/>
        <w:gridCol w:w="1361"/>
        <w:gridCol w:w="2494"/>
      </w:tblGrid>
      <w:tr>
        <w:trPr>
          <w:tblHeader/>
        </w:trPr>
        <w:tc>
          <w:tcPr>
            <w:tcW w:type="dxa" w:w="147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环境</w:t>
            </w:r>
          </w:p>
        </w:tc>
        <w:tc>
          <w:tcPr>
            <w:tcW w:type="dxa" w:w="113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虚机数</w:t>
            </w:r>
          </w:p>
        </w:tc>
        <w:tc>
          <w:tcPr>
            <w:tcW w:type="dxa" w:w="1020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vCPU</w:t>
            </w:r>
          </w:p>
        </w:tc>
        <w:tc>
          <w:tcPr>
            <w:tcW w:type="dxa" w:w="136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内存 (GB)</w:t>
            </w:r>
          </w:p>
        </w:tc>
        <w:tc>
          <w:tcPr>
            <w:tcW w:type="dxa" w:w="136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存储 (TB)</w:t>
            </w:r>
          </w:p>
        </w:tc>
        <w:tc>
          <w:tcPr>
            <w:tcW w:type="dxa" w:w="249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146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572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47.4</w:t>
            </w:r>
          </w:p>
        </w:tc>
        <w:tc>
          <w:tcPr>
            <w:tcW w:type="dxa" w:w="249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完整高可用，承载 1.5.2.9 的服务等级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 / 集成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3.5</w:t>
            </w:r>
          </w:p>
        </w:tc>
        <w:tc>
          <w:tcPr>
            <w:tcW w:type="dxa" w:w="249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系统集成测试、验收测试与发布验证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培训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64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</w:t>
            </w:r>
          </w:p>
        </w:tc>
        <w:tc>
          <w:tcPr>
            <w:tcW w:type="dxa" w:w="249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按角色培训（RFP 1.7）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type="dxa" w:w="113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102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182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716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51.8</w:t>
            </w:r>
          </w:p>
        </w:tc>
        <w:tc>
          <w:tcPr>
            <w:tcW w:type="dxa" w:w="249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不含对象存储的增长余量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数据库三台（主库、同步备库、分析副本）各 16 vCPU、64 至 96 GB 内存、4 TB 数据盘，100% 内存预留；etcd 三台提供仲裁；负载均衡、应用、实时、ETL、身份、监控各成对部署；对象存储三节点；备份库一台。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5309"/>
          <w:left w:val="single" w:sz="4" w:space="0" w:color="B45309"/>
          <w:bottom w:val="single" w:sz="4" w:space="0" w:color="B45309"/>
          <w:right w:val="single" w:sz="4" w:space="0" w:color="B45309"/>
          <w:insideH w:val="single" w:sz="4" w:space="0" w:color="B45309"/>
          <w:insideV w:val="single" w:sz="4" w:space="0" w:color="B45309"/>
        </w:tblBorders>
      </w:tblPr>
      <w:tblGrid>
        <w:gridCol w:w="9298"/>
      </w:tblGrid>
      <w:tr>
        <w:tc>
          <w:tcPr>
            <w:tcW w:type="dxa" w:w="9298"/>
            <w:shd w:val="clear" w:fill="FDF4E7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B45309"/>
                <w:sz w:val="20"/>
              </w:rPr>
              <w:t>对象存储容量存在五倍差异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按低估算（10% 警情携带 3 张照片、每张 2 MB）八年约需 10 TB；按高估算（30% 携带 5 张）约需 50 TB。当前按低估算提出 3 × 8 TB。实际值取决于 MDS 与 E-Assist 现场媒体的真实比例、张数以及是否含视频，需由业务方确认（第 14 章 D-01）。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t>12.2  放置与隔离要求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虚机规格本身不产生可用性。主机与存储的隔离方式决定服务等级能否达成。以下要求是本设计的可靠性基础，构成对基础设施提供方的输入。</w:t>
      </w:r>
    </w:p>
    <w:p>
      <w:pPr>
        <w:keepLines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7148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-Fig12-1-Placement-and-Iso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14876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微软雅黑" w:hAnsi="微软雅黑" w:eastAsia="微软雅黑"/>
          <w:b w:val="0"/>
          <w:color w:val="4B5563"/>
          <w:sz w:val="17"/>
        </w:rPr>
        <w:t>图 12-1  Physical Placement and Storage Isolation   物理放置与存储隔离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907"/>
        <w:gridCol w:w="6463"/>
        <w:gridCol w:w="1474"/>
      </w:tblGrid>
      <w:tr>
        <w:trPr>
          <w:tblHeader/>
        </w:trPr>
        <w:tc>
          <w:tcPr>
            <w:tcW w:type="dxa" w:w="90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type="dxa" w:w="6463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要求</w:t>
            </w:r>
          </w:p>
        </w:tc>
        <w:tc>
          <w:tcPr>
            <w:tcW w:type="dxa" w:w="147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关键级别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PL-01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三台 PostgreSQL 虚机分别位于三台不同的物理主机，任何时刻不得两台同宿。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PL-02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三个 etcd 成员位于三台不同物理主机。仲裁丢失将使自动切换失效。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PL-03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每一对高可用组件（LB、APP、RT、ETL、IAM、MON）至少跨两台物理主机。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PL-04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三个对象存储节点位于三台不同物理主机。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PL-05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上述分组跨至少两个机架，机架具备独立供电与独立接入交换。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ST-01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主库与同步备库的数据卷位于不同的物理存储；至少不同控制器与不同 LUN。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ST-02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备份仓库位于独立于数据库数据存储的介质。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ST-03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数据库数据卷厚置备并保证 IOPS，99 分位写入时延不超过 2 毫秒。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RS-01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承载数据库与 etcd 的主机不得超分 CPU 与内存；内存 100% 预留，禁用气球与交换。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RS-02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上述主机的 CPU 就绪时间保持在 5% 以下。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OP-01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禁用数据库虚机的自动在线迁移；迁移须人工计划执行。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OP-02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不对数据库虚机做平台级定期快照。平台快照也不是有效的数据库备份。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OP-03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平台高可用重启机制不得与 Patroni 竞争；Patroni 为角色变更的唯一权威。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OP-04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全部虚机与 CAD、话务平台使用同一时钟源，漂移不超过 50 毫秒。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NW-01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复制流量、应用流量与管理流量使用独立网络段。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NW-02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主库与同步备库之间往返时延不超过 1 毫秒。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NW-03</w:t>
            </w:r>
          </w:p>
        </w:tc>
        <w:tc>
          <w:tcPr>
            <w:tcW w:type="dxa" w:w="6463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任何虚机不具备互联网出向访问；补丁经内网镜像源分发。</w:t>
            </w:r>
          </w:p>
        </w:tc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</w:tbl>
    <w:p>
      <w:pPr>
        <w:spacing w:before="0" w:after="1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1C1C"/>
          <w:left w:val="single" w:sz="4" w:space="0" w:color="B91C1C"/>
          <w:bottom w:val="single" w:sz="4" w:space="0" w:color="B91C1C"/>
          <w:right w:val="single" w:sz="4" w:space="0" w:color="B91C1C"/>
          <w:insideH w:val="single" w:sz="4" w:space="0" w:color="B91C1C"/>
          <w:insideV w:val="single" w:sz="4" w:space="0" w:color="B91C1C"/>
        </w:tblBorders>
      </w:tblPr>
      <w:tblGrid>
        <w:gridCol w:w="9298"/>
      </w:tblGrid>
      <w:tr>
        <w:tc>
          <w:tcPr>
            <w:tcW w:type="dxa" w:w="9298"/>
            <w:shd w:val="clear" w:fill="FDEEEE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B91C1C"/>
                <w:sz w:val="20"/>
              </w:rPr>
              <w:t>ST-01 是最常被遗漏的一条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仅做主机反亲和是不充分的保护：两台虚机分散在两台主机上，而虚拟磁盘却由同一个 LUN 切出，存储侧一旦故障两台同时失效，同步复制反而使业务完全停止。这一条必须逐项落实到存储映射表。</w:t>
            </w:r>
          </w:p>
        </w:tc>
      </w:tr>
    </w:tbl>
    <w:p>
      <w:pPr>
        <w:spacing w:before="0" w:after="16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另有一项限制需要明确说明：在只有两个机架的条件下，总有一个机架承载三个 etcd 成员中的两个。该机架整体失效时数据库仍可服务，但自动切换失效，需人工提升。要在机架整体失效时仍保持自动切换，需要第三个机架或异地仲裁节点。这是仲裁机制的固有约束，配置调整无法规避。</w:t>
      </w:r>
    </w:p>
    <w:p>
      <w:pPr>
        <w:pStyle w:val="Heading2"/>
      </w:pPr>
      <w:r>
        <w:t>12.3  三套环境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474"/>
        <w:gridCol w:w="4195"/>
        <w:gridCol w:w="1247"/>
        <w:gridCol w:w="1928"/>
      </w:tblGrid>
      <w:tr>
        <w:trPr>
          <w:tblHeader/>
        </w:trPr>
        <w:tc>
          <w:tcPr>
            <w:tcW w:type="dxa" w:w="147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环境</w:t>
            </w:r>
          </w:p>
        </w:tc>
        <w:tc>
          <w:tcPr>
            <w:tcW w:type="dxa" w:w="419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用途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高可用</w:t>
            </w:r>
          </w:p>
        </w:tc>
        <w:tc>
          <w:tcPr>
            <w:tcW w:type="dxa" w:w="192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数据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</w:t>
            </w:r>
          </w:p>
        </w:tc>
        <w:tc>
          <w:tcPr>
            <w:tcW w:type="dxa" w:w="419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业务运行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完整数据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 / 集成</w:t>
            </w:r>
          </w:p>
        </w:tc>
        <w:tc>
          <w:tcPr>
            <w:tcW w:type="dxa" w:w="419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系统集成测试、性能演练、发布验证（RFP 1.6.9）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不要求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脱敏子集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培训</w:t>
            </w:r>
          </w:p>
        </w:tc>
        <w:tc>
          <w:tcPr>
            <w:tcW w:type="dxa" w:w="419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按角色培训（RFP 1.7）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不要求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匿名化数据集</w:t>
            </w:r>
          </w:p>
        </w:tc>
      </w:tr>
    </w:tbl>
    <w:p>
      <w:pPr>
        <w:spacing w:before="0" w:after="140"/>
      </w:pPr>
    </w:p>
    <w:p>
      <w:pPr>
        <w:pStyle w:val="Heading2"/>
      </w:pPr>
      <w:r>
        <w:t>12.4  发布流程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全部配置、模型与部署脚本在开发侧由 Git 管理；生产网内不部署代码仓库，以带版本号与校验和的不可变发布制品导入并登记于 meta.release_registry。环境差异以参数区分，不维护多套脚本（DD-49）。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部署使用 Ansible 与容器运行时，镜像来自内部仓库。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发布路径为测试至培训至生产，每一级须通过既定的验证项。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生产发布须有回滚方案与回滚演练记录。</w:t>
      </w:r>
    </w:p>
    <w:p>
      <w:pPr>
        <w:pStyle w:val="ListBullet"/>
        <w:spacing w:after="40" w:line="307" w:lineRule="auto"/>
      </w:pPr>
      <w:r>
        <w:rPr>
          <w:rFonts w:ascii="微软雅黑" w:hAnsi="微软雅黑" w:eastAsia="微软雅黑"/>
          <w:b w:val="0"/>
          <w:sz w:val="21"/>
        </w:rPr>
        <w:t>运行参数的热调不走发布流程，但写入审计（9.2）。</w:t>
      </w:r>
    </w:p>
    <w:p>
      <w:r>
        <w:br w:type="page"/>
      </w:r>
    </w:p>
    <w:p>
      <w:pPr>
        <w:pStyle w:val="Heading1"/>
      </w:pPr>
      <w:r>
        <w:t>13  多站演进预留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麦地那为独立合同，不在本次交付范围内。但若将来形成双中心互备，事后改造的代价远高于现在预留。本设计包含四项预留，均为低成本项。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1587"/>
        <w:gridCol w:w="3742"/>
        <w:gridCol w:w="1814"/>
        <w:gridCol w:w="1928"/>
      </w:tblGrid>
      <w:tr>
        <w:trPr>
          <w:tblHeader/>
        </w:trPr>
        <w:tc>
          <w:tcPr>
            <w:tcW w:type="dxa" w:w="158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预留项</w:t>
            </w:r>
          </w:p>
        </w:tc>
        <w:tc>
          <w:tcPr>
            <w:tcW w:type="dxa" w:w="3742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内容</w:t>
            </w:r>
          </w:p>
        </w:tc>
        <w:tc>
          <w:tcPr>
            <w:tcW w:type="dxa" w:w="1814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现在的成本</w:t>
            </w:r>
          </w:p>
        </w:tc>
        <w:tc>
          <w:tcPr>
            <w:tcW w:type="dxa" w:w="192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事后追加的成本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站点维度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所有事实表与关键维度带 dim_site；报表与指标均可按站点过滤或汇总。</w:t>
            </w:r>
          </w:p>
        </w:tc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增加一个维度字段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改表结构与全部模型、报表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全局唯一主键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主键在全局范围内唯一，不依赖单站自增序列。</w:t>
            </w:r>
          </w:p>
        </w:tc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主键生成策略的一次选择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数据合并时的主键冲突处理，代价极高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接入契约与位点语义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事件契约与位点语义已定义，新增站点的数据源只是注册表中的新条目。</w:t>
            </w:r>
          </w:p>
        </w:tc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已包含在第 4 章设计中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重做接入框架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参数化部署</w:t>
            </w:r>
          </w:p>
        </w:tc>
        <w:tc>
          <w:tcPr>
            <w:tcW w:type="dxa" w:w="3742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部署脚本以参数区分站点，不维护多套脚本。</w:t>
            </w:r>
          </w:p>
        </w:tc>
        <w:tc>
          <w:tcPr>
            <w:tcW w:type="dxa" w:w="1814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部署脚本的一次规范</w:t>
            </w:r>
          </w:p>
        </w:tc>
        <w:tc>
          <w:tcPr>
            <w:tcW w:type="dxa" w:w="192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维护多套脚本并长期分叉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需要说明的是，本次不实现跨站复制、不实现跨站故障切换、不承诺双中心的服务水平。预留的含义是"届时可以扩展"，不是"已经具备"。</w:t>
      </w:r>
    </w:p>
    <w:p>
      <w:r>
        <w:br w:type="page"/>
      </w:r>
    </w:p>
    <w:p>
      <w:pPr>
        <w:pStyle w:val="Heading1"/>
      </w:pPr>
      <w:r>
        <w:t>14  待定项登记表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下列事项在本版定稿时尚未取得答复。相关章节按建议值撰写并标注"待确认"，不构成承诺。本表是项目管理的抓手：每一项有明确的责任方与所需答复内容，未获答复所造成的影响在此白纸黑字记录。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4B5563"/>
          <w:sz w:val="20"/>
        </w:rPr>
        <w:t>本表是摘要。完整的假设与信息需求登记见交接包 HD-03，其中列有 28 条假设（含依据与推翻后果）与 36 项待收集信息（含向谁收集与建议问法）。两份文件的编号可相互对照：本表的 T 编号对应 HD-03 的 AS 与 IR 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850"/>
        <w:gridCol w:w="1701"/>
        <w:gridCol w:w="2608"/>
        <w:gridCol w:w="1361"/>
        <w:gridCol w:w="2608"/>
      </w:tblGrid>
      <w:tr>
        <w:trPr>
          <w:tblHeader/>
        </w:trPr>
        <w:tc>
          <w:tcPr>
            <w:tcW w:type="dxa" w:w="850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type="dxa" w:w="170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事项</w:t>
            </w:r>
          </w:p>
        </w:tc>
        <w:tc>
          <w:tcPr>
            <w:tcW w:type="dxa" w:w="260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需要的答复</w:t>
            </w:r>
          </w:p>
        </w:tc>
        <w:tc>
          <w:tcPr>
            <w:tcW w:type="dxa" w:w="1361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责任方</w:t>
            </w:r>
          </w:p>
        </w:tc>
        <w:tc>
          <w:tcPr>
            <w:tcW w:type="dxa" w:w="2608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未解决的影响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T-01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DS 数据字典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在范围内的表与列清单、业务含义，以及代码与枚举字段的取值含义。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DS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语义映射进度不可预测；第一批核心字段的 2 至 3 周估算不成立。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T-02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DS 水位线机制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>
              <w:t>水位线字段；是否存在单调递增序号；物理删除与原地更新的表达方式（有无软删除标记、更新是否必定变更时间戳）；能否提供逻辑复制及展示库 PostgreSQL 版本；是否存在整表重载式的 ETL 刷新。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DS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>
              <w:t>只有时间戳时须加回看窗口兜底；无软删除表达则历史统计与 CAD 自身长期不一致且无法解释，须以滚动窗口校验补偿。逻辑复制作为备选正式提出，DS 拒绝亦需留书面记录（4.3 · DD-61 · 对应 IR-02）。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T-03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DS 可重放窗口与结构变更通知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展示库保留多少天可重放；结构变更的通知承诺。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DS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重放窗口不足将限制口径修正的追溯范围。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T-04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ICP 接口文档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是否提供历史事件接口；限流、分页与鉴权方式。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ICP / 华为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决定坐席状态时长类指标的精度上限（见 4.6.3）；无文档则该类指标不宜承诺精度。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T-05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警情与通话的关联基数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一起警情是否可能关联多个通话；非电话渠道警情是否无通话标识。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我方验证 + DS 确认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决定事实表粒度与全过程指标的分母定义。可用真实数据验证，不阻塞设计。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T-06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CAD 维度是否双语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警情类别、单位、辖区等维度是否具备双语名称字段。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DS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若无，需我方维护双语对照表，属于新增工作量（7.4）。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T-07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归档库迁移范围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历史数据起始年份；迁移后的对账口径与验收报表。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 / 实施阶段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不影响设计，只影响容量估算与实施排期（4.6.1）。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T-08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服务水平判定口径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探测点、失败判定标准、监控数据留存要求。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总包商 / MOI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未事先认可则自证无效（11.6）。建议实施启动前完成。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T-09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现场媒体容量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MDS 与 E-Assist 携带媒体的警情占比、张数、大小，是否含视频。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业务方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对象存储容量在 10 TB 与 50 TB 之间相差五倍（12.1）。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T-10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数据分级与脱敏政策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 的数据分级政策与脱敏要求。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测试与培训环境的数据准备规则无法定稿（10.4）。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T-11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审计保留期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审计留痕的合规保留年限。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 8 年起草。若要求更长，影响 audit 分区与存储估算（9.4）。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T-12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报表投递通道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 现有的邮件或文件投递方式。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订阅分发的实现方式待定（7.4）。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T-13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时钟源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与 CAD、话务平台共用的 NTP 源。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总包商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无共同时钟则跨系统事件时序与秒级服务水平测量无法互相印证（OP-04）。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T-14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放置与隔离要求的可满足性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虚拟化平台能否满足第 12.2 节的十七条要求；数据库层可用的存储等级与保证性能。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基础设施提供方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任何一条不能满足，须重新评估相应的服务水平承诺，而不是调整设计（11.6）。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T-15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静态加密能力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平台是否提供数据库与备份存储的静态加密。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基础设施提供方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影响 10.5 的实现方式。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T-16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大屏功能对照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POC 大屏各元素是否均有真实数据源支撑。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我方核对 + DS 确认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预期已被 POC 锚定，功能覆盖低于它会被视为倒退（8.3）。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T-17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移动端推送路径（已消解）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无须再答。系统设有 DMZ 区与短信、邮件网关，移动端本期按只读聚合看板交付，不使用设备推送。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已消解，见 8.4 与交接包 AS-09。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T-18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四十张报表与"复刻现有报表"的关系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两者是同一批，还是复刻项另行计数。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MOI（建议经 Q&amp;A）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直接决定交付量。按另计理解，报表交付量可能接近翻倍（7.4）。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T-19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数据分类政策与 DLP 登记册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与 MOI 共同制定并取得批准。两者均为生产上线的前置条件。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关键路径前置门。未获批准，生产与培训环境的数据库无法上线（10.4）。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T-20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ESB 的提供方与规格冻结时间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ESB 由谁提供，接口规格何时冻结。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总包商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RFP 1.6.2.31.2 要求的适配器交付时间取决于此，不由本方控制（7.7）。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T-21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迁移方案的提交期限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RFP 2.7.7.3 规定合同授予后两个月内提交分步迁移方案。需确认起算时点与提交对象。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 / 项目管理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硬期限，且依赖对现有环境的分析已完成。应作为项目计划的固定里程碑（4.6.1）。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T-22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客户反馈数据的采集方与形态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反馈由谁采集、以何种形式提供给本系统。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 / 总包商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RFP 1.6.2.17 要求将反馈纳入 BI。若采集也属本方范围，属新增工作量（3.3 · 8.2）。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T-23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CAD 维度是否具备双语名称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警情类别、单位、辖区等维度是否有阿英双语字段。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DS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若无，需本方维护双语对照表，属新增工作量（7.4）。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T-24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MDM 分发与 DMZ 接入规范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MDM 的应用分发方式与签名要求；DMZ 反向代理的接入规范与可用端口；DMZ 至内网服务层的防火墙策略申请流程。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总包商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移动端（IF-40）无法进入联调与上线（8.4 · 对应 IR-37）。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T-25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迁移范围内日志类数据的量级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现有系统 system logs 与 access logs 自 2016 年起的记录数与容量。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 / 现有运维方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同时影响容量估算、迁移排期，以及是否需要引入列存加速层（2.3 · 4.6.1 · 对应 IR-38）。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T-26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 目录增设部门组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AD 能否为调度员与主管增设部门组，以及可用时间表。当前目录仅有 call taker 与 dispatcher 两类角色。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 / 总包商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行级安全的长期权威来源。AD 就绪前以 M-06 本地映射表过渡，交付不阻塞（10.3 · 对应 IR-39）。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T-27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部门归属名册与编码对应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在岗调度员与主管的部门归属名册，及其与 CAD 处置单位编码的对应关系。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MOI 业务 + DS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行级过滤的初始数据。编码不一致时过滤结果为空而非报错，属最难发现的一类缺陷（10.3 · 对应 IR-40）。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T-28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CAD 对外部信息的落库形态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报警人位置是坐标还是地址文本、是否含精度与来源标记；人员与车辆是派单快照还是带时间序列的状态记录；外部查询结果是否全部持久化。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DS（并入数据字典）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决定空间分析与资源类指标能否交付：位置若仅为地址文本需地理编码；资源若仅有派单快照则资源可用率无法计算（4.6.2 · 8.2 · 对应 IR-41）。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>
              <w:t>T-30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>
              <w:t>归档时间字段是否含时区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>
              <w:t>归档库时间字段的实际类型：datetimeoffset（含时区偏移）、datetime 或 datetime2（不含）。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>
              <w:t>DS / 现有运维方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>
              <w:t>决定 REQ-MIG-08「保留原始时区」的应答方式。若源端为无时区类型，则原始时区信息在源端即不存在，任何投标人都无法迁出，本方按 DD-60 在迁移方案中如实表述并主动经 Q&amp;A 向 MOI 提出（4.6.1 · 对应 IR-42）。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>
              <w:t>T-31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>
              <w:t>归档库的物理形态与升级记录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>
              <w:t>归档为单库原地升级还是多代表集并存；是否留存 DDL 变更记录、发布说明或升级工单（不完整亦可）；历次升级的大致时点。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>
              <w:t>DS / 现有运维方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>
              <w:t>决定 raw 层物理落法（DD-58）。升级记录哪怕只有片段，也能把 schema 版本边界的反推从纯统计推断降为「推断 + 已知锚点」，可靠性差别很大（4.6.1 · 对应 IR-43）。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>
              <w:t>T-32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>
              <w:t>移动端并发规模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>
              <w:t>移动端注册用户数、峰值并发会话数、是否经移动路径下载大附件。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>
              <w:t>MOI / 总包商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>
              <w:t>决定 DMZ 两台接入代理（各 4 vCPU、8 GB）是否够用。只影响这一对代理，不影响其它虚机；但扩容需总包商在 DMZ 内追加虚机，不是本方可自行解决的事。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3" w:lineRule="auto"/>
            </w:pPr>
            <w:r>
              <w:t>T-33</w:t>
            </w:r>
          </w:p>
        </w:tc>
        <w:tc>
          <w:tcPr>
            <w:tcW w:type="dxa" w:w="1701"/>
          </w:tcPr>
          <w:p>
            <w:pPr>
              <w:spacing w:after="40" w:before="40" w:line="283" w:lineRule="auto"/>
            </w:pPr>
            <w:r>
              <w:t>DMZ 侧平台供给与移动应用管理归属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>
              <w:t>确认 WAF、DDoS 防护、公网域名与 TLS 证书由平台提供；确认移动应用管理（MDM、应用分发、设备合规）由 MOI 既有平台承担。</w:t>
            </w:r>
          </w:p>
        </w:tc>
        <w:tc>
          <w:tcPr>
            <w:tcW w:type="dxa" w:w="1361"/>
          </w:tcPr>
          <w:p>
            <w:pPr>
              <w:spacing w:after="40" w:before="40" w:line="283" w:lineRule="auto"/>
            </w:pPr>
            <w:r>
              <w:t>总包商 / MOI</w:t>
            </w:r>
          </w:p>
        </w:tc>
        <w:tc>
          <w:tcPr>
            <w:tcW w:type="dxa" w:w="2608"/>
          </w:tcPr>
          <w:p>
            <w:pPr>
              <w:spacing w:after="40" w:before="40" w:line="283" w:lineRule="auto"/>
            </w:pPr>
            <w:r>
              <w:t>两项均按「不在本方范围」计入资源与报价（CN-37）。若实际需由本方承担，虚机数量与交付范围须重新评估。</w:t>
            </w:r>
          </w:p>
        </w:tc>
      </w:tr>
    </w:tbl>
    <w:p>
      <w:pPr>
        <w:spacing w:before="0" w:after="140"/>
      </w:pPr>
    </w:p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D4ED8"/>
          <w:left w:val="single" w:sz="4" w:space="0" w:color="1D4ED8"/>
          <w:bottom w:val="single" w:sz="4" w:space="0" w:color="1D4ED8"/>
          <w:right w:val="single" w:sz="4" w:space="0" w:color="1D4ED8"/>
          <w:insideH w:val="single" w:sz="4" w:space="0" w:color="1D4ED8"/>
          <w:insideV w:val="single" w:sz="4" w:space="0" w:color="1D4ED8"/>
        </w:tblBorders>
      </w:tblPr>
      <w:tblGrid>
        <w:gridCol w:w="9298"/>
      </w:tblGrid>
      <w:tr>
        <w:tc>
          <w:tcPr>
            <w:tcW w:type="dxa" w:w="9298"/>
            <w:shd w:val="clear" w:fill="F1F5F9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1D4ED8"/>
                <w:sz w:val="20"/>
              </w:rPr>
              <w:t>关于本表的用法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本表不是免责声明，而是进度管理工具。第 4 章的接入框架经过专门设计，使 T-01 至 T-03 的答复最终只是接入契约中若干字段的取值，因此这些事项不阻塞设计定稿与开发启动。真正需要尽早推动的有四项：T-08（服务水平判定口径）与 T-14（放置与隔离要求），因为它们的答复可能改变的是承诺本身而不是实现方式；以及 T-18（报表数量的解读）与 T-19（两项前置门），前者直接决定交付量，后者是生产上线的关卡。</w:t>
            </w:r>
          </w:p>
        </w:tc>
      </w:tr>
    </w:tbl>
    <w:p>
      <w:pPr>
        <w:spacing w:before="0" w:after="160"/>
      </w:pPr>
    </w:p>
    <w:p>
      <w:pPr>
        <w:spacing w:before="0" w:after="32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— 本文件结束 —</w:t>
      </w:r>
    </w:p>
    <w:sectPr w:rsidR="00FC693F" w:rsidRPr="0006063C" w:rsidSect="00034616">
      <w:footerReference w:type="default" r:id="rId18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b w:val="0"/>
        <w:sz w:val="21"/>
      </w:rPr>
      <w:t xml:space="preserve">  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