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>
      <w:pPr>
        <w:pStyle w:val="Heading2"/>
      </w:pPr>
      <w:r>
        <w:t>【2026-10-27 补充，DD-93】pgBouncer 的池名：会话池 oss911（等于真实库名；dbt、接入程序、运维用）、事务池 oss911_txn（服务层用）、cad_mirror（会话池，DS 写入与接入读取）。会话池必须用真实库名——dbt-postgres 以「库名.schema.表」渲染并校验库名等于连接的 dbname，别名会被 PostgreSQL 当作跨库引用拒绝。pgBouncer 以 auth_type = hba 按「池 × 用户」拒绝错配：服务角色连 oss911 拒绝、dbt 与 ingest 连 oss911_txn 拒绝，连错池立刻失败而非偶发变慢。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pStyle w:val="Heading2"/>
      </w:pPr>
      <w:r>
        <w:t>【2026-10-24 补充，DD-85 的一条遗漏前提】「scheduler 无状态」成立的条件之一是 Airflow 的两把密钥是共享配置而不是节点本地状态：[api_auth] jwt_secret（scheduler 签发任务令牌、API server 校验）与 [core] fernet_key（加密元数据库中的连接口令）。二者默认在首次启动时各节点随机生成，双活下任务在另一台汇报即被拒、口令在另一台解不开，且是间歇性的，单机开发环境永远复现不了。处置：权威来源只有一个——控制节点上的一份，生成一次或从首台节点纳管一次，由剧本分发到全部 ETL 节点的 /etc/oss911/airflow.env（0600），启动组件前断言各节点一致，不一致即失败不启动、走迁移处理；逐台「本机有则沿用、没有则生成」只能保证单机重跑不变，保证不了双节点同一把（2026-10-26 评审）；轮换进 runbook/91（fernet_key 轮换须按 Airflow 的多密钥重加密流程）。另：新 DAG 保持创建即暂停，首次上线由人工开启，列为验收步骤（增量命令带 --start-at 建立水位 → 开启 → 确认首个任务成功）；此后的重复部署不得改变 DAG 的暂停状态——源的启停只认 meta.source_contract.enabled，DAG 暂停不是第二个开关。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>
      <w:pPr>
        <w:pStyle w:val="Heading2"/>
      </w:pPr>
      <w:r>
        <w:t>【2026-10-24 补充】每次发布都完整执行 site.yml 中的部署步骤（40-schema → 45-contracts → 50-dags 等），不按「这次改了什么」挑步骤跑：每一步都必须可重复执行，未变化的内容跳过。45-contracts 对契约按三支判断（同版本同内容跳过、同版本不同内容失败、低版本拒绝），并在数据库同步提交后重新生成 DAG 发布清单——依据是库内全部受管的源（含 enabled = false），不是本次 release.yml；pool 映射来自 contracts/pools.yml，缺失即失败。提交后写清单失败属发布未完成，重跑必须重新生成分发，两节点都更新并验证通过才算完成。从 release.yml 中删去一份契约不删除库内副本、也不会停掉它的 DAG；停一个源只认 meta.source_contract.enabled，彻底下线一个源是一次结构变更加清单变更，不是只改清单。 首次上线顺序：人工执行一次增量命令带 --start-at 建立水位 → 开启 DAG → 确认首个自动任务成功。 每次部署使用独立、不可变的候选目录（按发布版本号命名）：文件复制、契约校验、DagBag 预演、转换与 pool 读取都引用这一份；共用候选目录时，部署 B 覆盖文件会使部署 A 把未经校验的内容同步进库，数据库锁护不到这一段（2026-10-26 评审）。</w:t>
      </w:r>
    </w:p>
    <w:p>
      <w:pPr>
        <w:pStyle w:val="Heading2"/>
      </w:pPr>
      <w:r>
        <w:t>【2026-10-29 补充】发布核对清单的必核项：契约中随发布进入生产的环境相关取值——if03d 的 endpoint.site_vdn（开发值 1/1）、各契约的 host_ref 与 credential_ref 所指向的环境条目、resweep.yml 的起始日——每次向生产发布前逐项核对并在发布记录中签字；integration_checks 段只是提醒，不是核对动作。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>
      <w:pPr>
        <w:pStyle w:val="Heading1"/>
      </w:pPr>
      <w:r>
        <w:t>【2026-10-19 补充，DD-90】集群内增加一个 database：cad_mirror，由 DS 的同步程序经专用写入角色写入，结构为 CAD 74 张表原样。它与 oss911 同集群、同 Patroni 高可用、同备份策略，但是独立的 database：写入角色只是该库的属主，对 oss911 零权限。容量按每日数万行、八年估算，相对主库可忽略。网络上需开通 CAD 区到数据库区的入向写入通道，经 pgBouncer（session 模式，单独池）而非直连主库；该通道属 CN-13/14 同类的前置门，须 MOI 批准。本方集群切换期间 DS 的写入会短暂失败，其重试与缓冲由 DS 负责，写入中间库规范。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