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29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42 项（其中 IR-32 已关闭）。紧急度为“高”的项目，其答复会改变设计选择、交付范围或承诺内容，应在设计冻结前取得。</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28</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r>
              <w:rPr>
                <w:rFonts w:ascii="微软雅黑" w:hAnsi="微软雅黑" w:eastAsia="微软雅黑"/>
                <w:b w:val="0"/>
                <w:sz w:val="18"/>
              </w:rPr>
              <w:t>13</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r>
              <w:rPr>
                <w:rFonts w:ascii="微软雅黑" w:hAnsi="微软雅黑" w:eastAsia="微软雅黑"/>
                <w:b w:val="0"/>
                <w:sz w:val="18"/>
              </w:rP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