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 【2026-10-19 评审补充】契约校验只有一套：规则在接入程序内（oss911-ingest validate-contract，可带现有热调值一起校验），部署步骤与 M-01 都调用它，不另写一份。校验至少含：endpoint、credential_ref、幂等键、列定义齐全；contract_version 为正整数；窗口与回看的类型与范围；幂等键引用的列存在于列定义；YAML 重复键直接拒绝（默认解析器静默取后一个）。热调值的规则：回看长度只能调大、不能小于契约默认值——缩短回看只会少数据、不报错，属口径变更，须改契约默认值走发布；数据库 CHECK 的 1–1440 只是类型护栏，这条规则由同一套校验在接入启动、M-01 写入、部署同步三处执行。契约同步事务以 pg_advisory_xact_lock 串行化，防止并发部署绕过「版本只前进」。 【2026-10-21 评审补充】三处并发约定：一、部署同步对该源的 meta.source_contract 行先 SELECT … FOR UPDATE，拿到锁后再读覆盖值做兼容校验，持有到提交；二、M-01 写 meta.source_runtime_param 前对同一契约行 FOR SHARE——部署与热调互斥，热调之间不互斥；三、接入程序启动时契约、版本、enabled 与覆盖值从同一数据库快照读出（一条查询或一个 REPEATABLE READ 事务），读完即固定为本次配置，下载期间不持锁。校验分两层：通用层（版本、键引用列存在、重复键）与按连接器和源类型的必填层；必填项缺失（如 ICP 话单的 endpoint.path、window.lookback_minutes、enums.call_type.values）是配置错误，启动时以退出码 2 结束，不得进入数据路径被当作数据质量问题处理。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TC-ING-02「更新后延迟提交」通过后再议；三、中间库即交接点，中间库与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