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34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t>12</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r>
        <w:tc>
          <w:tcPr>
            <w:tcW w:type="dxa" w:w="1134"/>
          </w:tcPr>
          <w:p>
            <w:pPr>
              <w:spacing w:after="40" w:before="40" w:line="283" w:lineRule="auto"/>
            </w:pPr>
            <w:r>
              <w:t>AS-30</w:t>
            </w:r>
            <w:r>
              <w:rPr>
                <w:rFonts w:ascii="微软雅黑" w:hAnsi="微软雅黑" w:eastAsia="微软雅黑"/>
                <w:b w:val="0"/>
                <w:sz w:val="16"/>
              </w:rPr>
            </w:r>
          </w:p>
          <w:p/>
          <w:p>
            <w:r>
              <w:t>已确认</w:t>
            </w:r>
          </w:p>
        </w:tc>
        <w:tc>
          <w:tcPr>
            <w:tcW w:type="dxa" w:w="3515"/>
          </w:tcPr>
          <w:p>
            <w:pPr>
              <w:spacing w:after="40" w:before="40" w:line="283" w:lineRule="auto"/>
            </w:pPr>
            <w:r>
              <w:t>麦加 911 在 ICP 上为单一 VDN，不按号码、语种或部门切分为多个虚拟呼叫中心。</w:t>
            </w:r>
            <w:r>
              <w:rPr>
                <w:rFonts w:ascii="微软雅黑" w:hAnsi="微软雅黑" w:eastAsia="微软雅黑"/>
                <w:b w:val="0"/>
                <w:sz w:val="16"/>
              </w:rPr>
            </w:r>
          </w:p>
          <w:p>
            <w:r>
              <w:t>【依据】现场沟通答复（2026-10）。</w:t>
            </w:r>
          </w:p>
        </w:tc>
        <w:tc>
          <w:tcPr>
            <w:tcW w:type="dxa" w:w="2494"/>
          </w:tcPr>
          <w:p>
            <w:pPr>
              <w:spacing w:after="40" w:before="40" w:line="283" w:lineRule="auto"/>
            </w:pPr>
            <w:r>
              <w:t>若实际为多 VDN，全部话务事实表须增加 VDN 维，报表与权限须按 VDN 切分，且 CMS 各接口需按 vdnId 逐个轮询，接入作业的并发与配额估算随之改变。</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CN-21</w:t>
            </w:r>
          </w:p>
        </w:tc>
      </w:tr>
      <w:tr>
        <w:tc>
          <w:tcPr>
            <w:tcW w:type="dxa" w:w="1134"/>
          </w:tcPr>
          <w:p>
            <w:pPr>
              <w:spacing w:after="40" w:before="40" w:line="283" w:lineRule="auto"/>
            </w:pPr>
            <w:r>
              <w:t>AS-31</w:t>
            </w:r>
            <w:r>
              <w:rPr>
                <w:rFonts w:ascii="微软雅黑" w:hAnsi="微软雅黑" w:eastAsia="微软雅黑"/>
                <w:b w:val="0"/>
                <w:sz w:val="16"/>
              </w:rPr>
            </w:r>
          </w:p>
          <w:p/>
          <w:p>
            <w:r>
              <w:t>已确认</w:t>
            </w:r>
          </w:p>
        </w:tc>
        <w:tc>
          <w:tcPr>
            <w:tcW w:type="dxa" w:w="3515"/>
          </w:tcPr>
          <w:p>
            <w:pPr>
              <w:spacing w:after="40" w:before="40" w:line="283" w:lineRule="auto"/>
            </w:pPr>
            <w:r>
              <w:t>话务平台的坐席工号与自然人一一对应，不在班次之间复用；换班由接班人以本人工号重新登录。</w:t>
            </w:r>
            <w:r>
              <w:rPr>
                <w:rFonts w:ascii="微软雅黑" w:hAnsi="微软雅黑" w:eastAsia="微软雅黑"/>
                <w:b w:val="0"/>
                <w:sz w:val="16"/>
              </w:rPr>
            </w:r>
          </w:p>
          <w:p>
            <w:r>
              <w:t>【依据】现场沟通答复（2026-10）。</w:t>
            </w:r>
          </w:p>
        </w:tc>
        <w:tc>
          <w:tcPr>
            <w:tcW w:type="dxa" w:w="2494"/>
          </w:tcPr>
          <w:p>
            <w:pPr>
              <w:spacing w:after="40" w:before="40" w:line="283" w:lineRule="auto"/>
            </w:pPr>
            <w:r>
              <w:t>若工号可在班次间复用，话单中的 DEVICENO 便不足以归属到人，接警员维度须改为「工号 + 时间段」经排班表反查，绩效与质检的归属链路随之加长，且排班数据成为话务指标的必需输入——而排班已按 DD-53 确定为派生而非接入。</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REQ-GOV-02</w:t>
            </w:r>
          </w:p>
        </w:tc>
      </w:tr>
      <w:tr>
        <w:tc>
          <w:tcPr>
            <w:tcW w:type="dxa" w:w="1134"/>
          </w:tcPr>
          <w:p>
            <w:pPr>
              <w:spacing w:after="40" w:before="40" w:line="283" w:lineRule="auto"/>
            </w:pPr>
            <w:r>
              <w:t>AS-32</w:t>
              <w:br/>
              <w:br/>
              <w:t>待确认</w:t>
            </w:r>
          </w:p>
        </w:tc>
        <w:tc>
          <w:tcPr>
            <w:tcW w:type="dxa" w:w="3515"/>
          </w:tcPr>
          <w:p>
            <w:pPr>
              <w:spacing w:after="40" w:before="40" w:line="283" w:lineRule="auto"/>
            </w:pPr>
            <w:r>
              <w:t>开发与测试期间，ICP 的鉴权与话单下载接口由本方编写的假接口服务（test/fake_icp/）替代。它按接口文档实现相同的请求与响应、窗口上下限与「不支持并发」，并以确定性种子生成合成话单。接入程序按正常路径调用它，与调用真实接口的唯一差别是部署时注入的地址与账号；接入代码中不设「合成模式」分支。依据：开发机与 MOI 专网不通，手上没有真实话单样本。</w:t>
            </w:r>
          </w:p>
        </w:tc>
        <w:tc>
          <w:tcPr>
            <w:tcW w:type="dxa" w:w="2494"/>
          </w:tcPr>
          <w:p>
            <w:pPr>
              <w:spacing w:after="40" w:before="40" w:line="283" w:lineRule="auto"/>
            </w:pPr>
            <w:r>
              <w:t>假接口中凡照文档推测的行为（共 19 条，见 NOTES.md 2026-10-13 一节，核实结论回写契约 if03a 的 integration_checks 段），与真实平台不同者，联调时都须改接入程序。其中时区、窗口边界、单次返回是否静默截断、CALLID 的唯一范围四条不报错、只少数据或错位，联调时须逐条主动核实，不能以「跑通了」为准。合成数据只用于验证代码路径，不得用于性能结论或指标口径结论。</w:t>
            </w:r>
          </w:p>
        </w:tc>
        <w:tc>
          <w:tcPr>
            <w:tcW w:type="dxa" w:w="1701"/>
          </w:tcPr>
          <w:p>
            <w:pPr>
              <w:spacing w:after="40" w:before="40" w:line="283" w:lineRule="auto"/>
            </w:pPr>
            <w:r>
              <w:t>本方（开发）</w:t>
              <w:br/>
              <w:br/>
              <w:t>IR-45 · DD-82 · DD-84 · REQ-ING-03</w:t>
            </w:r>
          </w:p>
        </w:tc>
      </w:tr>
      <w:tr>
        <w:tc>
          <w:tcPr>
            <w:tcW w:type="dxa" w:w="1134"/>
          </w:tcPr>
          <w:p>
            <w:pPr>
              <w:spacing w:after="40" w:before="40" w:line="283" w:lineRule="auto"/>
            </w:pPr>
            <w:r>
              <w:t>AS-33</w:t>
              <w:br/>
              <w:br/>
              <w:t>待确认</w:t>
            </w:r>
          </w:p>
        </w:tc>
        <w:tc>
          <w:tcPr>
            <w:tcW w:type="dxa" w:w="3515"/>
          </w:tcPr>
          <w:p>
            <w:pPr>
              <w:spacing w:after="40" w:before="40" w:line="283" w:lineRule="auto"/>
            </w:pPr>
            <w:r>
              <w:t>同一 CALLID 内 CALLIDNUM 的编号稳定：一段通话一旦出现在接口中，其 CALLIDNUM 不再改变；-1 只出现一次且最后出现。 【依据】接口文档只写 1 为首、-1 为末，未写其余规律；本条与 CALLID 的唯一范围（IR-45 第五项）是两件事，分开登记。</w:t>
            </w:r>
          </w:p>
        </w:tc>
        <w:tc>
          <w:tcPr>
            <w:tcW w:type="dxa" w:w="2494"/>
          </w:tcPr>
          <w:p>
            <w:pPr>
              <w:spacing w:after="40" w:before="40" w:line="283" w:lineRule="auto"/>
            </w:pPr>
            <w:r>
              <w:t>若会改号，(CALLID, CALLIDNUM) 作幂等键会把同一段通话记成两段、或把两段合成一段；「通话是否结束」的判断（是否已见 -1）要改。已列入 ICP 问题单 Q22。</w:t>
            </w:r>
          </w:p>
        </w:tc>
        <w:tc>
          <w:tcPr>
            <w:tcW w:type="dxa" w:w="1701"/>
          </w:tcPr>
          <w:p>
            <w:pPr>
              <w:spacing w:after="40" w:before="40" w:line="283" w:lineRule="auto"/>
            </w:pPr>
            <w:r>
              <w:t>ICP 运维方 / 总包商</w:t>
              <w:br/>
              <w:br/>
              <w:t>IR-45 · DD-82 · if03a</w:t>
            </w:r>
          </w:p>
        </w:tc>
      </w:tr>
      <w:tr>
        <w:tc>
          <w:tcPr>
            <w:tcW w:type="dxa" w:w="1134"/>
          </w:tcPr>
          <w:p>
            <w:pPr>
              <w:spacing w:after="40" w:before="40" w:line="283" w:lineRule="auto"/>
            </w:pPr>
            <w:r>
              <w:t>AS-34</w:t>
              <w:br/>
              <w:br/>
              <w:t>待确认</w:t>
            </w:r>
          </w:p>
        </w:tc>
        <w:tc>
          <w:tcPr>
            <w:tcW w:type="dxa" w:w="3515"/>
          </w:tcPr>
          <w:p>
            <w:pPr>
              <w:spacing w:after="40" w:before="40" w:line="283" w:lineRule="auto"/>
            </w:pPr>
            <w:r>
              <w:t>同一段通话的内容不会 A → B → A 往复变化：字段一经补全（如 CALLEND）不再回退为空或改回旧值。 【依据】话单按通话进展单向补全是常理，文档未写。</w:t>
            </w:r>
          </w:p>
        </w:tc>
        <w:tc>
          <w:tcPr>
            <w:tcW w:type="dxa" w:w="2494"/>
          </w:tcPr>
          <w:p>
            <w:pPr>
              <w:spacing w:after="40" w:before="40" w:line="283" w:lineRule="auto"/>
            </w:pPr>
            <w:r>
              <w:t>raw 去重以（幂等键, content_hash）判定，往复变化时第三次观测 A 与第一次哈希相同而不落地，raw 少一次观测；core 取版本更大者，终态仍可能错。属源端行为假设，不是缺陷；若推翻，去重键须加观测时间。</w:t>
            </w:r>
          </w:p>
        </w:tc>
        <w:tc>
          <w:tcPr>
            <w:tcW w:type="dxa" w:w="1701"/>
          </w:tcPr>
          <w:p>
            <w:pPr>
              <w:spacing w:after="40" w:before="40" w:line="283" w:lineRule="auto"/>
            </w:pPr>
            <w:r>
              <w:t>ICP 运维方（联调实测）</w:t>
              <w:br/>
              <w:br/>
              <w:t>DD-82 · if03a</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50 项（其中 IR-32 已关闭、IR-13 部分已答复）。紧急度为“高”的项目，其答复会改变设计选择、交付范围或承诺内容，应在设计冻结前取得。IR-47 至 IR-50 为 2026-10 新增，二者同在交付的关键路径上：答复未到之前，离网介质的组织方式不能定稿。</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35</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t>12</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t>展示库增量接入的三项，逐项答复：一、水位线字段名，是否存在数据库侧单调递增序号；二、物理删除与原地更新的表达方式——是否有软删除标记，更新是否必定变更时间戳；三、能否提供逻辑复制（wal_level=logical、带 REPLICATION 属性的角色与建槽权限、由 DS 维护 PUBLICATION），若可行，展示库的 PostgreSQL 版本及其是否为物理备库。另需说明展示库是否存在整表重载式的 ETL 刷新</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增量机制的选择。只有时间戳时须加回看窗口。第二项是关键：若存在物理删除或不动时间戳的原地更新，水位轮询永远看不见这些变更，库内数据将与 CAD 长期不一致且不报错——此时必须靠 CDC 或滚动窗口校验补偿（DD-61）。第三项即便 DS 因运维风险拒绝，也需留下书面记录：客户答复中已有「新系统增量接入需具备 CDC 与 API 两种能力」一条，本方不提则形同回避。第四项若为整表重载，CDC 与水位轮询同时失效，两种方案都要改。 ——【2026-10-13】CAD 数据视图结构说明已部分答复，未答部分并入 IR-50。</w:t>
            </w:r>
          </w:p>
        </w:tc>
        <w:tc>
          <w:tcPr>
            <w:tcW w:type="dxa" w:w="1701"/>
          </w:tcPr>
          <w:p>
            <w:pPr>
              <w:spacing w:after="40" w:before="40" w:line="283" w:lineRule="auto"/>
            </w:pPr>
            <w:r>
              <w:t>接口文档中明确字段名与语义；第三项以书面答复形式保留，无论同意与否</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r>
        <w:tc>
          <w:tcPr>
            <w:tcW w:type="dxa" w:w="1077"/>
          </w:tcPr>
          <w:p>
            <w:pPr>
              <w:spacing w:after="40" w:before="40" w:line="283" w:lineRule="auto"/>
            </w:pPr>
            <w:r>
              <w:t>IR-44  高</w:t>
            </w:r>
          </w:p>
        </w:tc>
        <w:tc>
          <w:tcPr>
            <w:tcW w:type="dxa" w:w="2381"/>
          </w:tcPr>
          <w:p>
            <w:pPr>
              <w:spacing w:after="40" w:before="40" w:line="283" w:lineRule="auto"/>
            </w:pPr>
            <w:r>
              <w:t>移动端并发规模：注册用户数、峰值并发会话数、是否经移动路径下载大附件。</w:t>
            </w:r>
          </w:p>
        </w:tc>
        <w:tc>
          <w:tcPr>
            <w:tcW w:type="dxa" w:w="1077"/>
          </w:tcPr>
          <w:p>
            <w:pPr>
              <w:spacing w:after="40" w:before="40" w:line="283" w:lineRule="auto"/>
            </w:pPr>
            <w:r>
              <w:t>MOI / 总包商</w:t>
            </w:r>
          </w:p>
        </w:tc>
        <w:tc>
          <w:tcPr>
            <w:tcW w:type="dxa" w:w="2608"/>
          </w:tcPr>
          <w:p>
            <w:pPr>
              <w:spacing w:after="40" w:before="40" w:line="283" w:lineRule="auto"/>
            </w:pPr>
            <w:r>
              <w:t>决定 DMZ 两台接入代理（各 4 vCPU、8 GB）的规格是否够用。只影响这一对代理，不影响其它虚机；但代理位于总包商运维的 DMZ 区内（CN-30），扩容不是本方可自行解决的事，故需在资源提交前取得。</w:t>
            </w:r>
          </w:p>
        </w:tc>
        <w:tc>
          <w:tcPr>
            <w:tcW w:type="dxa" w:w="1701"/>
          </w:tcPr>
          <w:p>
            <w:pPr>
              <w:spacing w:after="40" w:before="40" w:line="283" w:lineRule="auto"/>
            </w:pPr>
            <w:r>
              <w:t>随虚机资源需求表一并向总包商提出，与 T-32 同一问题的两处登记。</w:t>
            </w:r>
          </w:p>
        </w:tc>
      </w:tr>
      <w:tr>
        <w:tc>
          <w:tcPr>
            <w:tcW w:type="dxa" w:w="1077"/>
          </w:tcPr>
          <w:p>
            <w:pPr>
              <w:spacing w:after="40" w:before="40" w:line="283" w:lineRule="auto"/>
            </w:pPr>
            <w:r>
              <w:t>IR-45  高</w:t>
            </w:r>
          </w:p>
        </w:tc>
        <w:tc>
          <w:tcPr>
            <w:tcW w:type="dxa" w:w="2381"/>
          </w:tcPr>
          <w:p>
            <w:pPr>
              <w:spacing w:after="40" w:before="40" w:line="283" w:lineRule="auto"/>
            </w:pPr>
            <w:r>
              <w:t>CMS 服务账号的 token 有效期；同一坐席工号的并发会话是否互斥；CMS 侧是否存在调用频次或配额限制。另须问清（2026-10-13 补充，来自开发机比对接口文档）：一、下载话单需要什么账号——文档一处写须系统管理员鉴权（错误码 300-013），另一处写只有具质检权限的 VDN 用户才能鉴权成功，字面互斥；二、请求参数 startTime / endTime 按 UTC 还是本地时间解释；三、窗口边界是闭区间还是半开区间；四、单次返回的行数是否有上限、超出时是否静默截断；五、CALLID 的唯一范围——跨天或平台重启后是否会重复。</w:t>
            </w:r>
          </w:p>
        </w:tc>
        <w:tc>
          <w:tcPr>
            <w:tcW w:type="dxa" w:w="1077"/>
          </w:tcPr>
          <w:p>
            <w:pPr>
              <w:spacing w:after="40" w:before="40" w:line="283" w:lineRule="auto"/>
            </w:pPr>
            <w:r>
              <w:t>ICP 运维方 / 总包商</w:t>
            </w:r>
          </w:p>
        </w:tc>
        <w:tc>
          <w:tcPr>
            <w:tcW w:type="dxa" w:w="2608"/>
          </w:tcPr>
          <w:p>
            <w:pPr>
              <w:spacing w:after="40" w:before="40" w:line="283" w:lineRule="auto"/>
            </w:pPr>
            <w:r>
              <w:t>决定 LD-01 4.7 的鉴权实现与 4.5 的轮询周期取值。若同一工号的并发会话互斥，人工以该工号登录会把接入作业踢下线——这类故障会在验收演示当天发作。拿到答复前按「token 随时可能失效」实现。 补充五项中，第一项不问清，整条链路可能在鉴权一步就走不通；第二至五项一旦猜错都不报错，只会少数据或错位，其中第五项若会重复，(CALLID, CALLIDNUM) 作为幂等键即不成立，不同的通话会被当作同一张话单的新观测。</w:t>
            </w:r>
          </w:p>
        </w:tc>
        <w:tc>
          <w:tcPr>
            <w:tcW w:type="dxa" w:w="1701"/>
          </w:tcPr>
          <w:p>
            <w:pPr>
              <w:spacing w:after="40" w:before="40" w:line="283" w:lineRule="auto"/>
            </w:pPr>
            <w:r>
              <w:t>随 ICP 接口联调一并提出；本项可由 ICP 侧实测给出，不必等书面规格。</w:t>
            </w:r>
          </w:p>
        </w:tc>
      </w:tr>
      <w:tr>
        <w:tc>
          <w:tcPr>
            <w:tcW w:type="dxa" w:w="1077"/>
          </w:tcPr>
          <w:p>
            <w:pPr>
              <w:spacing w:after="40" w:before="40" w:line="283" w:lineRule="auto"/>
            </w:pPr>
            <w:r>
              <w:t>IR-46  高</w:t>
            </w:r>
          </w:p>
        </w:tc>
        <w:tc>
          <w:tcPr>
            <w:tcW w:type="dxa" w:w="2381"/>
          </w:tcPr>
          <w:p>
            <w:pPr>
              <w:spacing w:after="40" w:before="40" w:line="283" w:lineRule="auto"/>
            </w:pPr>
            <w:r>
              <w:t>骚扰或恶意呼叫的标记由谁产生、存在哪里（话务台还是 CAD），以及话单中的主叫号码是否按隐私策略做过掩码或匿名。</w:t>
            </w:r>
          </w:p>
        </w:tc>
        <w:tc>
          <w:tcPr>
            <w:tcW w:type="dxa" w:w="1077"/>
          </w:tcPr>
          <w:p>
            <w:pPr>
              <w:spacing w:after="40" w:before="40" w:line="283" w:lineRule="auto"/>
            </w:pPr>
            <w:r>
              <w:t>MOI / 总包商 / ICP 运维方</w:t>
            </w:r>
          </w:p>
        </w:tc>
        <w:tc>
          <w:tcPr>
            <w:tcW w:type="dxa" w:w="2608"/>
          </w:tcPr>
          <w:p>
            <w:pPr>
              <w:spacing w:after="40" w:before="40" w:line="283" w:lineRule="auto"/>
            </w:pPr>
            <w:r>
              <w:t>M-C14 骚扰呼叫数在话单与平台指标中都没有来源，标记不找到就不发布，R-07 的骚扰部分随之缺一块。主叫号码若被掩码，M-C15 同一主叫失败次数的分组键失效，R-06 整张报表不成立。</w:t>
            </w:r>
          </w:p>
        </w:tc>
        <w:tc>
          <w:tcPr>
            <w:tcW w:type="dxa" w:w="1701"/>
          </w:tcPr>
          <w:p>
            <w:pPr>
              <w:spacing w:after="40" w:before="40" w:line="283" w:lineRule="auto"/>
            </w:pPr>
            <w:r>
              <w:t>随 ICP 接口联调提出；主叫号码一项可直接用一天的话单样本看出来。</w:t>
            </w:r>
          </w:p>
        </w:tc>
      </w:tr>
      <w:tr>
        <w:tc>
          <w:tcPr>
            <w:tcW w:type="dxa" w:w="1077"/>
          </w:tcPr>
          <w:p>
            <w:pPr>
              <w:spacing w:after="40" w:before="40" w:line="283" w:lineRule="auto"/>
            </w:pPr>
            <w:r>
              <w:t>IR-47  高</w:t>
            </w:r>
          </w:p>
        </w:tc>
        <w:tc>
          <w:tcPr>
            <w:tcW w:type="dxa" w:w="2381"/>
          </w:tcPr>
          <w:p>
            <w:pPr>
              <w:spacing w:after="40" w:before="40" w:line="283" w:lineRule="auto"/>
            </w:pPr>
            <w:r>
              <w:t>生产虚机按什么基线交付：是总包商/MOI 的标准化基线镜像（含安全加固策略、备份代理、监控代理、域加入、补丁通道），还是按 ISO 全新安装的裸机？若为标准基线，需取得其已装包清单。</w:t>
            </w:r>
          </w:p>
        </w:tc>
        <w:tc>
          <w:tcPr>
            <w:tcW w:type="dxa" w:w="1077"/>
          </w:tcPr>
          <w:p>
            <w:pPr>
              <w:spacing w:after="40" w:before="40" w:line="283" w:lineRule="auto"/>
            </w:pPr>
            <w:r>
              <w:t>MOI / 总包商</w:t>
            </w:r>
          </w:p>
        </w:tc>
        <w:tc>
          <w:tcPr>
            <w:tcW w:type="dxa" w:w="2608"/>
          </w:tcPr>
          <w:p>
            <w:pPr>
              <w:spacing w:after="40" w:before="40" w:line="283" w:lineRule="auto"/>
            </w:pPr>
            <w:r>
              <w:t>决定两件事。一、离网介质中 apt 依赖闭包按什么底座解析——`apt-get --print-uris` 只列出当前机器还缺的包，底座不同闭包就不完整，而这种缺失只会在现场装机时才暴露。二、我方能否以虚机镜像形态交付（若平台有自己的基线与补丁通道，自制镜像不可能通过安全审计）。阻塞 runbook/90 的介质定稿。</w:t>
            </w:r>
          </w:p>
        </w:tc>
        <w:tc>
          <w:tcPr>
            <w:tcW w:type="dxa" w:w="1701"/>
          </w:tcPr>
          <w:p>
            <w:pPr>
              <w:spacing w:after="40" w:before="40" w:line="283" w:lineRule="auto"/>
            </w:pPr>
            <w:r>
              <w:t>随介质导入流程（IR-48）一并向总包商提出。若给出标准基线，请一并提供 `dpkg-query -W` 的输出，我方据此重算闭包。</w:t>
            </w:r>
          </w:p>
        </w:tc>
      </w:tr>
      <w:tr>
        <w:tc>
          <w:tcPr>
            <w:tcW w:type="dxa" w:w="1077"/>
          </w:tcPr>
          <w:p>
            <w:pPr>
              <w:spacing w:after="40" w:before="40" w:line="283" w:lineRule="auto"/>
            </w:pPr>
            <w:r>
              <w:t>IR-48  高</w:t>
            </w:r>
          </w:p>
        </w:tc>
        <w:tc>
          <w:tcPr>
            <w:tcW w:type="dxa" w:w="2381"/>
          </w:tcPr>
          <w:p>
            <w:pPr>
              <w:spacing w:after="40" w:before="40" w:line="283" w:lineRule="auto"/>
            </w:pPr>
            <w:r>
              <w:t>离网介质的导入流程：允许的介质形态与数量、单次体积上限、报批提前期、现场由谁执行；以及**病毒扫描网关是否会改写文件内容**（例如将压缩包解开后重新打包）。</w:t>
            </w:r>
          </w:p>
        </w:tc>
        <w:tc>
          <w:tcPr>
            <w:tcW w:type="dxa" w:w="1077"/>
          </w:tcPr>
          <w:p>
            <w:pPr>
              <w:spacing w:after="40" w:before="40" w:line="283" w:lineRule="auto"/>
            </w:pPr>
            <w:r>
              <w:t>MOI / 总包商</w:t>
            </w:r>
          </w:p>
        </w:tc>
        <w:tc>
          <w:tcPr>
            <w:tcW w:type="dxa" w:w="2608"/>
          </w:tcPr>
          <w:p>
            <w:pPr>
              <w:spacing w:after="40" w:before="40" w:line="283" w:lineRule="auto"/>
            </w:pPr>
            <w:r>
              <w:t>MOI 内网没有 apt / PyPI / 容器镜像仓库，全部物料须由介质携带（runbook/90）。扫描网关若重新打包压缩文件，字节即发生变化，我方签名的 SHA256SUMS 与容器镜像的 digest 复验会全部失败——而这类问题在现场才发现通常要花数天。体积上限与报批提前期决定介质如何切分与何时送审。</w:t>
            </w:r>
          </w:p>
        </w:tc>
        <w:tc>
          <w:tcPr>
            <w:tcW w:type="dxa" w:w="1701"/>
          </w:tcPr>
          <w:p>
            <w:pPr>
              <w:spacing w:after="40" w:before="40" w:line="283" w:lineRule="auto"/>
            </w:pPr>
            <w:r>
              <w:t>书面提出，并请求在正式交付前做一次**小样试导**（几十 MB 的测试目录加 SHA256SUMS），用实际结果确认校验和能否穿过网关。</w:t>
            </w:r>
          </w:p>
        </w:tc>
      </w:tr>
      <w:tr>
        <w:tc>
          <w:tcPr>
            <w:tcW w:type="dxa" w:w="1077"/>
          </w:tcPr>
          <w:p>
            <w:pPr>
              <w:spacing w:after="40" w:before="40" w:line="283" w:lineRule="auto"/>
            </w:pPr>
            <w:r>
              <w:t>IR-49  高</w:t>
            </w:r>
          </w:p>
        </w:tc>
        <w:tc>
          <w:tcPr>
            <w:tcW w:type="dxa" w:w="2381"/>
          </w:tcPr>
          <w:p>
            <w:pPr>
              <w:spacing w:after="40" w:before="40" w:line="283" w:lineRule="auto"/>
            </w:pPr>
            <w:r>
              <w:t>AD FS 侧的对接规格：开放的协议与端点（OIDC / SAML 2.0 / WS-Fed）、元数据 URL、声明清单（须含一个不可变标识如 objectGUID，以及显示名、邮箱、组成员）、令牌签名证书的轮换策略与周期、可用于联调的测试账号。</w:t>
            </w:r>
          </w:p>
        </w:tc>
        <w:tc>
          <w:tcPr>
            <w:tcW w:type="dxa" w:w="1077"/>
          </w:tcPr>
          <w:p>
            <w:pPr>
              <w:spacing w:after="40" w:before="40" w:line="283" w:lineRule="auto"/>
            </w:pPr>
            <w:r>
              <w:t>MOI 身份团队 / 总包商</w:t>
            </w:r>
          </w:p>
        </w:tc>
        <w:tc>
          <w:tcPr>
            <w:tcW w:type="dxa" w:w="2608"/>
          </w:tcPr>
          <w:p>
            <w:pPr>
              <w:spacing w:after="40" w:before="40" w:line="283" w:lineRule="auto"/>
            </w:pPr>
            <w:r>
              <w:t>决定 LD-07 6.3 的协议实现与 6.5 的证书轮换运维条目。三处风险：只开放 SAML 2.0 时声明名称与格式随之不同；声明里若没有不可变标识，人员改名或调岗会使 Keycloak 把同一个人当成新用户，此前的授权与审计关联断开；无测试账号则 Keycloak 与 AD FS 的联调无法开始。元数据 URL 还须在生产网内可达，否则证书轮换当天全部登录同时失败。</w:t>
            </w:r>
          </w:p>
        </w:tc>
        <w:tc>
          <w:tcPr>
            <w:tcW w:type="dxa" w:w="1701"/>
          </w:tcPr>
          <w:p>
            <w:pPr>
              <w:spacing w:after="40" w:before="40" w:line="283" w:lineRule="auto"/>
            </w:pPr>
            <w:r>
              <w:t>请 MOI 身份团队直接提供 AD FS 的联邦元数据文档与一份声明规则示例；测试账号两个（一个普通调度员组、一个主管组），用于验证角色映射。</w:t>
            </w:r>
          </w:p>
        </w:tc>
      </w:tr>
      <w:tr>
        <w:tc>
          <w:tcPr>
            <w:tcW w:type="dxa" w:w="1077"/>
          </w:tcPr>
          <w:p>
            <w:pPr>
              <w:spacing w:after="40" w:before="40" w:line="283" w:lineRule="auto"/>
            </w:pPr>
            <w:r>
              <w:t>IR-50  高</w:t>
            </w:r>
          </w:p>
        </w:tc>
        <w:tc>
          <w:tcPr>
            <w:tcW w:type="dxa" w:w="2381"/>
          </w:tcPr>
          <w:p>
            <w:pPr>
              <w:spacing w:after="40" w:before="40" w:line="283" w:lineRule="auto"/>
            </w:pPr>
            <w:r>
              <w:t>CAD 数据视图的澄清：缺失的两张字典表（t_dm_ay 案由、t_bd_dw 单位）、全部 t_dm_* 字典的取值、视图列名与访问方式、sjc 是否随原地更新刷新、物理删除、时区与坐标系、单据层级与基数、事件合并与转警、解除结案后结案时间以哪次为准、与华为话单 CALLID 对应的字段、unit 状态历史、报警人信息是否掩码。共 29 项，见 queries/CAD_Data_View_Clarification_Questions.xlsx。 ——【2026-10-15 DS 答复，2026-10-19 评估】29 项中约 18 项答清、7 项部分、4 项未答，答复件见 queries/CAD_Data_View_Clarification_Questions_Answered_2026-10-15.xlsx，结构表新版多一页 Table Lists（74 张表的英文视图名）。已答清并可直接采用：视图名用 Table Lists 英文名、列名用翻译列；全部本地时间；单据链 t_ContactEvent → t_CommonEvent → t_AgencyEvent → t_UnitInstruction → t_FeedbackRecord，统计以 t_AgencyEvent 为准；合并与转警原单保留并置取消，取消与暂存不计入警情量；结案时间只在 t_EventClosure、解除结案后以最后一次为准；不物理删除、永久保留；unit 状态覆盖更新而 t_UnitOperation 完整记录；hrbh 对应 CALLID；个人信息原样提供；字典名称只有阿语；14 张 t_dm_* 字典的取值已在结构表各页签下半部分（本方第一轮问 Q03、Q05 时看漏，属本方失误）；同意开放开发测试环境只读访问。两项与约定不符或改变设计：答复称展示库为 SQL Server——本方按约定要求以 PostgreSQL 提供，已在第二轮第 1 条提出，LD-01 第 3 章暂不改；sjc 由应用写入、存在改数据不更新时间戳的情况——LD-01 8.3 的滚动窗口校验由加固措施升为必需项，待 DS 答复哪些操作不更新 sjc 后登记 DD。仍缺：案由两个视图 VW_Get_EventType / VW_Get_EventSubType 的结构与取值、t_bd_dw、坐标系、hwhrbh 含义、CAD 工号与华为工号是否同套、测试环境连接信息。第二轮 15 条已于 2026-10-19 发出。</w:t>
            </w:r>
          </w:p>
        </w:tc>
        <w:tc>
          <w:tcPr>
            <w:tcW w:type="dxa" w:w="1077"/>
          </w:tcPr>
          <w:p>
            <w:pPr>
              <w:spacing w:after="40" w:before="40" w:line="283" w:lineRule="auto"/>
            </w:pPr>
            <w:r>
              <w:t>DS（CAD 方）/ 总包商</w:t>
            </w:r>
          </w:p>
        </w:tc>
        <w:tc>
          <w:tcPr>
            <w:tcW w:type="dxa" w:w="2608"/>
          </w:tcPr>
          <w:p>
            <w:pPr>
              <w:spacing w:after="40" w:before="40" w:line="283" w:lineRule="auto"/>
            </w:pPr>
            <w:r>
              <w:t>决定 DS 接入契约与 core 中受理、派警、出警、反馈四类事实表的粒度与关联。其中四项决定数据模型能否定稿：两张缺失的字典表、解除结案后的结案时间、与华为话单的关联字段。本项同时部分答复了 IR-01、IR-02（已有时间戳列 sjc 与完整数据字典）与 IR-41（报警位置有经纬度与坐标类型；unit 有上下岗与操作历史表），各该项未答部分并入本项。</w:t>
            </w:r>
          </w:p>
        </w:tc>
        <w:tc>
          <w:tcPr>
            <w:tcW w:type="dxa" w:w="1701"/>
          </w:tcPr>
          <w:p>
            <w:pPr>
              <w:spacing w:after="40" w:before="40" w:line="283" w:lineRule="auto"/>
            </w:pPr>
            <w:r>
              <w:t>以问题单（Excel，中英对照）发出，对方在表内填写答复。答复前 ICP 话务链路照常推进，不受影响。</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