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pPr>
    </w:p>
    <w:p>
      <w:pPr>
        <w:spacing w:before="0" w:after="120"/>
        <w:jc w:val="center"/>
      </w:pPr>
      <w:r>
        <w:rPr>
          <w:rFonts w:ascii="微软雅黑" w:hAnsi="微软雅黑" w:eastAsia="微软雅黑"/>
          <w:b/>
          <w:color w:val="1D4ED8"/>
          <w:sz w:val="36"/>
        </w:rPr>
        <w:t>OSS911 麦加 911 运营中心</w:t>
      </w:r>
    </w:p>
    <w:p>
      <w:pPr>
        <w:spacing w:before="0" w:after="360"/>
        <w:jc w:val="center"/>
      </w:pPr>
      <w:r>
        <w:rPr>
          <w:rFonts w:ascii="微软雅黑" w:hAnsi="微软雅黑" w:eastAsia="微软雅黑"/>
          <w:b/>
          <w:color w:val="1D4ED8"/>
          <w:sz w:val="36"/>
        </w:rPr>
        <w:t>商业智能与数据仓库子系统</w:t>
      </w:r>
    </w:p>
    <w:p>
      <w:pPr>
        <w:spacing w:before="0" w:after="160"/>
        <w:jc w:val="center"/>
      </w:pPr>
      <w:r>
        <w:rPr>
          <w:rFonts w:ascii="微软雅黑" w:hAnsi="微软雅黑" w:eastAsia="微软雅黑"/>
          <w:b/>
          <w:color w:val="111827"/>
          <w:sz w:val="48"/>
        </w:rPr>
        <w:t>开发交接说明与文件索引</w:t>
      </w:r>
    </w:p>
    <w:p>
      <w:pPr>
        <w:spacing w:before="0" w:after="1000"/>
        <w:jc w:val="center"/>
      </w:pPr>
      <w:r>
        <w:rPr>
          <w:rFonts w:ascii="微软雅黑" w:hAnsi="微软雅黑" w:eastAsia="微软雅黑"/>
          <w:b w:val="0"/>
          <w:color w:val="4B5563"/>
          <w:sz w:val="23"/>
        </w:rPr>
        <w:t>Handover Guide and Document Index   ( HD-00 )</w:t>
      </w:r>
    </w:p>
    <w:p>
      <w:pPr>
        <w:spacing w:before="0" w:after="120"/>
        <w:jc w:val="center"/>
      </w:pPr>
      <w:r>
        <w:rPr>
          <w:rFonts w:ascii="微软雅黑" w:hAnsi="微软雅黑" w:eastAsia="微软雅黑"/>
          <w:b/>
          <w:color w:val="111827"/>
          <w:sz w:val="24"/>
        </w:rPr>
        <w:t>版本  v0.1</w:t>
      </w:r>
    </w:p>
    <w:p>
      <w:pPr>
        <w:spacing w:before="0" w:after="2200"/>
        <w:jc w:val="center"/>
      </w:pPr>
      <w:r>
        <w:rPr>
          <w:rFonts w:ascii="微软雅黑" w:hAnsi="微软雅黑" w:eastAsia="微软雅黑"/>
          <w:b w:val="0"/>
          <w:color w:val="4B5563"/>
          <w:sz w:val="22"/>
        </w:rPr>
        <w:t>2026 年 9 月</w:t>
      </w:r>
    </w:p>
    <w:p>
      <w:pPr>
        <w:spacing w:before="0" w:after="60"/>
        <w:jc w:val="center"/>
      </w:pPr>
      <w:r>
        <w:rPr>
          <w:rFonts w:ascii="微软雅黑" w:hAnsi="微软雅黑" w:eastAsia="微软雅黑"/>
          <w:b w:val="0"/>
          <w:color w:val="4B5563"/>
          <w:sz w:val="20"/>
        </w:rPr>
        <w:t>先读这一份。它说明其余文件各自回答什么问题、按什么顺序读、</w:t>
      </w:r>
    </w:p>
    <w:p>
      <w:pPr>
        <w:spacing w:before="0" w:after="80"/>
        <w:jc w:val="center"/>
      </w:pPr>
      <w:r>
        <w:rPr>
          <w:rFonts w:ascii="微软雅黑" w:hAnsi="微软雅黑" w:eastAsia="微软雅黑"/>
          <w:b w:val="0"/>
          <w:color w:val="4B5563"/>
          <w:sz w:val="20"/>
        </w:rPr>
        <w:t>哪些内容可以直接依赖、哪些必须先去确认。</w:t>
      </w:r>
    </w:p>
    <w:p>
      <w:r>
        <w:br w:type="page"/>
      </w:r>
    </w:p>
    <w:p>
      <w:pPr>
        <w:pStyle w:val="Heading1"/>
      </w:pPr>
      <w:r>
        <w:t>1  交接包的结构</w:t>
      </w:r>
    </w:p>
    <w:p>
      <w:pPr>
        <w:spacing w:before="0" w:after="80"/>
      </w:pPr>
      <w:r>
        <w:rPr>
          <w:rFonts w:ascii="微软雅黑" w:hAnsi="微软雅黑" w:eastAsia="微软雅黑"/>
          <w:b w:val="0"/>
          <w:sz w:val="21"/>
        </w:rPr>
        <w:t>投标阶段产出的设计文档（HLD）是给评标人看的：它要证明方案可行、覆盖条款、技术选择有理由。开发组需要的是另一套东西：条款级的需求、可验收的标准、哪些前提是假设、哪些信息还没有、以及为什么当初没有选另一种做法。这个交接包补的就是后者。</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175"/>
        <w:gridCol w:w="4535"/>
        <w:gridCol w:w="1247"/>
      </w:tblGrid>
      <w:tr>
        <w:trPr>
          <w:tblHeader/>
        </w:trPr>
        <w:tc>
          <w:tcPr>
            <w:tcW w:type="dxa" w:w="3175"/>
            <w:shd w:val="clear" w:fill="EEF2FD"/>
          </w:tcPr>
          <w:p>
            <w:pPr>
              <w:spacing w:after="40" w:before="40"/>
            </w:pPr>
            <w:r/>
            <w:r>
              <w:rPr>
                <w:rFonts w:ascii="微软雅黑" w:hAnsi="微软雅黑" w:eastAsia="微软雅黑"/>
                <w:b/>
                <w:color w:val="1E3A8A"/>
                <w:sz w:val="18"/>
              </w:rPr>
              <w:t>文件</w:t>
            </w:r>
          </w:p>
        </w:tc>
        <w:tc>
          <w:tcPr>
            <w:tcW w:type="dxa" w:w="4535"/>
            <w:shd w:val="clear" w:fill="EEF2FD"/>
          </w:tcPr>
          <w:p>
            <w:pPr>
              <w:spacing w:after="40" w:before="40"/>
            </w:pPr>
            <w:r/>
            <w:r>
              <w:rPr>
                <w:rFonts w:ascii="微软雅黑" w:hAnsi="微软雅黑" w:eastAsia="微软雅黑"/>
                <w:b/>
                <w:color w:val="1E3A8A"/>
                <w:sz w:val="18"/>
              </w:rPr>
              <w:t>回答什么问题</w:t>
            </w:r>
          </w:p>
        </w:tc>
        <w:tc>
          <w:tcPr>
            <w:tcW w:type="dxa" w:w="1247"/>
            <w:shd w:val="clear" w:fill="EEF2FD"/>
          </w:tcPr>
          <w:p>
            <w:pPr>
              <w:spacing w:after="40" w:before="40"/>
            </w:pPr>
            <w:r/>
            <w:r>
              <w:rPr>
                <w:rFonts w:ascii="微软雅黑" w:hAnsi="微软雅黑" w:eastAsia="微软雅黑"/>
                <w:b/>
                <w:color w:val="1E3A8A"/>
                <w:sz w:val="18"/>
              </w:rPr>
              <w:t>格式</w:t>
            </w:r>
          </w:p>
        </w:tc>
      </w:tr>
      <w:tr>
        <w:tc>
          <w:tcPr>
            <w:tcW w:type="dxa" w:w="3175"/>
          </w:tcPr>
          <w:p>
            <w:pPr>
              <w:spacing w:after="40" w:before="40" w:line="283" w:lineRule="auto"/>
            </w:pPr>
            <w:r/>
            <w:r>
              <w:rPr>
                <w:rFonts w:ascii="微软雅黑" w:hAnsi="微软雅黑" w:eastAsia="微软雅黑"/>
                <w:b w:val="0"/>
                <w:sz w:val="18"/>
              </w:rPr>
              <w:t>HD-00 开发交接说明与文件索引</w:t>
            </w:r>
          </w:p>
        </w:tc>
        <w:tc>
          <w:tcPr>
            <w:tcW w:type="dxa" w:w="4535"/>
          </w:tcPr>
          <w:p>
            <w:pPr>
              <w:spacing w:after="40" w:before="40" w:line="283" w:lineRule="auto"/>
            </w:pPr>
            <w:r/>
            <w:r>
              <w:rPr>
                <w:rFonts w:ascii="微软雅黑" w:hAnsi="微软雅黑" w:eastAsia="微软雅黑"/>
                <w:b w:val="0"/>
                <w:sz w:val="18"/>
              </w:rPr>
              <w:t>先读哪一份，各文件的分工，哪些内容可以直接依赖</w:t>
            </w:r>
          </w:p>
        </w:tc>
        <w:tc>
          <w:tcPr>
            <w:tcW w:type="dxa" w:w="1247"/>
          </w:tcPr>
          <w:p>
            <w:pPr>
              <w:spacing w:after="40" w:before="40" w:line="283" w:lineRule="auto"/>
            </w:pPr>
            <w:r/>
            <w:r>
              <w:rPr>
                <w:rFonts w:ascii="微软雅黑" w:hAnsi="微软雅黑" w:eastAsia="微软雅黑"/>
                <w:b w:val="0"/>
                <w:sz w:val="18"/>
              </w:rPr>
              <w:t>本文件</w:t>
            </w:r>
          </w:p>
        </w:tc>
      </w:tr>
      <w:tr>
        <w:tc>
          <w:tcPr>
            <w:tcW w:type="dxa" w:w="3175"/>
          </w:tcPr>
          <w:p>
            <w:pPr>
              <w:spacing w:after="40" w:before="40" w:line="283" w:lineRule="auto"/>
            </w:pPr>
            <w:r/>
            <w:r>
              <w:rPr>
                <w:rFonts w:ascii="微软雅黑" w:hAnsi="微软雅黑" w:eastAsia="微软雅黑"/>
                <w:b w:val="0"/>
                <w:sz w:val="18"/>
              </w:rPr>
              <w:t>HD-01 需求规格说明书</w:t>
            </w:r>
          </w:p>
        </w:tc>
        <w:tc>
          <w:tcPr>
            <w:tcW w:type="dxa" w:w="4535"/>
          </w:tcPr>
          <w:p>
            <w:pPr>
              <w:spacing w:after="40" w:before="40" w:line="283" w:lineRule="auto"/>
            </w:pPr>
            <w:r>
              <w:t>RFP 要求转写为编号需求，每条有验收标准。条数以该册为准，不在本表重复。</w:t>
            </w:r>
          </w:p>
        </w:tc>
        <w:tc>
          <w:tcPr>
            <w:tcW w:type="dxa" w:w="1247"/>
          </w:tcPr>
          <w:p>
            <w:pPr>
              <w:spacing w:after="40" w:before="40" w:line="283" w:lineRule="auto"/>
            </w:pPr>
            <w:r/>
            <w:r>
              <w:rPr>
                <w:rFonts w:ascii="微软雅黑" w:hAnsi="微软雅黑" w:eastAsia="微软雅黑"/>
                <w:b w:val="0"/>
                <w:sz w:val="18"/>
              </w:rPr>
              <w:t>Word</w:t>
            </w:r>
          </w:p>
        </w:tc>
      </w:tr>
      <w:tr>
        <w:tc>
          <w:tcPr>
            <w:tcW w:type="dxa" w:w="3175"/>
          </w:tcPr>
          <w:p>
            <w:pPr>
              <w:spacing w:after="40" w:before="40" w:line="283" w:lineRule="auto"/>
            </w:pPr>
            <w:r/>
            <w:r>
              <w:rPr>
                <w:rFonts w:ascii="微软雅黑" w:hAnsi="微软雅黑" w:eastAsia="微软雅黑"/>
                <w:b w:val="0"/>
                <w:sz w:val="18"/>
              </w:rPr>
              <w:t>HD-02 需求追溯矩阵</w:t>
            </w:r>
          </w:p>
        </w:tc>
        <w:tc>
          <w:tcPr>
            <w:tcW w:type="dxa" w:w="4535"/>
          </w:tcPr>
          <w:p>
            <w:pPr>
              <w:spacing w:after="40" w:before="40" w:line="283" w:lineRule="auto"/>
            </w:pPr>
            <w:r>
              <w:t>RFP 条款逐条对应到需求编号与 HLD 章节；开发状态跟踪。条数以该册为准。</w:t>
            </w:r>
          </w:p>
        </w:tc>
        <w:tc>
          <w:tcPr>
            <w:tcW w:type="dxa" w:w="1247"/>
          </w:tcPr>
          <w:p>
            <w:pPr>
              <w:spacing w:after="40" w:before="40" w:line="283" w:lineRule="auto"/>
            </w:pPr>
            <w:r/>
            <w:r>
              <w:rPr>
                <w:rFonts w:ascii="微软雅黑" w:hAnsi="微软雅黑" w:eastAsia="微软雅黑"/>
                <w:b w:val="0"/>
                <w:sz w:val="18"/>
              </w:rPr>
              <w:t>Excel</w:t>
            </w:r>
          </w:p>
        </w:tc>
      </w:tr>
      <w:tr>
        <w:tc>
          <w:tcPr>
            <w:tcW w:type="dxa" w:w="3175"/>
          </w:tcPr>
          <w:p>
            <w:pPr>
              <w:spacing w:after="40" w:before="40" w:line="283" w:lineRule="auto"/>
            </w:pPr>
            <w:r/>
            <w:r>
              <w:rPr>
                <w:rFonts w:ascii="微软雅黑" w:hAnsi="微软雅黑" w:eastAsia="微软雅黑"/>
                <w:b w:val="0"/>
                <w:sz w:val="18"/>
              </w:rPr>
              <w:t>HD-03 假设与信息需求登记册</w:t>
            </w:r>
          </w:p>
        </w:tc>
        <w:tc>
          <w:tcPr>
            <w:tcW w:type="dxa" w:w="4535"/>
          </w:tcPr>
          <w:p>
            <w:pPr>
              <w:spacing w:after="40" w:before="40" w:line="283" w:lineRule="auto"/>
            </w:pPr>
            <w:r>
              <w:t>假设的依据与推翻后果；待收集信息的对象与用途。条数以该册为准——每次新增都要回来改数字，迟早会漏。</w:t>
            </w:r>
          </w:p>
        </w:tc>
        <w:tc>
          <w:tcPr>
            <w:tcW w:type="dxa" w:w="1247"/>
          </w:tcPr>
          <w:p>
            <w:pPr>
              <w:spacing w:after="40" w:before="40" w:line="283" w:lineRule="auto"/>
            </w:pPr>
            <w:r/>
            <w:r>
              <w:rPr>
                <w:rFonts w:ascii="微软雅黑" w:hAnsi="微软雅黑" w:eastAsia="微软雅黑"/>
                <w:b w:val="0"/>
                <w:sz w:val="18"/>
              </w:rPr>
              <w:t>Word</w:t>
            </w:r>
          </w:p>
        </w:tc>
      </w:tr>
      <w:tr>
        <w:tc>
          <w:tcPr>
            <w:tcW w:type="dxa" w:w="3175"/>
          </w:tcPr>
          <w:p>
            <w:pPr>
              <w:spacing w:after="40" w:before="40" w:line="283" w:lineRule="auto"/>
            </w:pPr>
            <w:r/>
            <w:r>
              <w:rPr>
                <w:rFonts w:ascii="微软雅黑" w:hAnsi="微软雅黑" w:eastAsia="微软雅黑"/>
                <w:b w:val="0"/>
                <w:sz w:val="18"/>
              </w:rPr>
              <w:t>HD-04 约束与设计决策登记册</w:t>
            </w:r>
          </w:p>
        </w:tc>
        <w:tc>
          <w:tcPr>
            <w:tcW w:type="dxa" w:w="4535"/>
          </w:tcPr>
          <w:p>
            <w:pPr>
              <w:spacing w:after="40" w:before="40" w:line="283" w:lineRule="auto"/>
            </w:pPr>
            <w:r>
              <w:t>约束的来源与后果；设计决策及被拒方案与拒绝理由。条数以该册为准。</w:t>
            </w:r>
          </w:p>
        </w:tc>
        <w:tc>
          <w:tcPr>
            <w:tcW w:type="dxa" w:w="1247"/>
          </w:tcPr>
          <w:p>
            <w:pPr>
              <w:spacing w:after="40" w:before="40" w:line="283" w:lineRule="auto"/>
            </w:pPr>
            <w:r/>
            <w:r>
              <w:rPr>
                <w:rFonts w:ascii="微软雅黑" w:hAnsi="微软雅黑" w:eastAsia="微软雅黑"/>
                <w:b w:val="0"/>
                <w:sz w:val="18"/>
              </w:rPr>
              <w:t>Excel</w:t>
            </w:r>
          </w:p>
        </w:tc>
      </w:tr>
      <w:tr>
        <w:tc>
          <w:tcPr>
            <w:tcW w:type="dxa" w:w="3175"/>
          </w:tcPr>
          <w:p>
            <w:pPr>
              <w:spacing w:after="40" w:before="40" w:line="283" w:lineRule="auto"/>
            </w:pPr>
            <w:r/>
            <w:r>
              <w:rPr>
                <w:rFonts w:ascii="微软雅黑" w:hAnsi="微软雅黑" w:eastAsia="微软雅黑"/>
                <w:b w:val="0"/>
                <w:sz w:val="18"/>
              </w:rPr>
              <w:t>HD-05 报表仪表板与指标清单</w:t>
            </w:r>
          </w:p>
        </w:tc>
        <w:tc>
          <w:tcPr>
            <w:tcW w:type="dxa" w:w="4535"/>
          </w:tcPr>
          <w:p>
            <w:pPr>
              <w:spacing w:after="40" w:before="40" w:line="283" w:lineRule="auto"/>
            </w:pPr>
            <w:r/>
            <w:r>
              <w:rPr>
                <w:rFonts w:ascii="微软雅黑" w:hAnsi="微软雅黑" w:eastAsia="微软雅黑"/>
                <w:b w:val="0"/>
                <w:sz w:val="18"/>
              </w:rPr>
              <w:t>40 张报表、20 个仪表板、52 个指标的初稿清单</w:t>
            </w:r>
          </w:p>
        </w:tc>
        <w:tc>
          <w:tcPr>
            <w:tcW w:type="dxa" w:w="1247"/>
          </w:tcPr>
          <w:p>
            <w:pPr>
              <w:spacing w:after="40" w:before="40" w:line="283" w:lineRule="auto"/>
            </w:pPr>
            <w:r/>
            <w:r>
              <w:rPr>
                <w:rFonts w:ascii="微软雅黑" w:hAnsi="微软雅黑" w:eastAsia="微软雅黑"/>
                <w:b w:val="0"/>
                <w:sz w:val="18"/>
              </w:rPr>
              <w:t>Excel</w:t>
            </w:r>
          </w:p>
        </w:tc>
      </w:tr>
      <w:tr>
        <w:tc>
          <w:tcPr>
            <w:tcW w:type="dxa" w:w="3175"/>
          </w:tcPr>
          <w:p>
            <w:pPr>
              <w:spacing w:after="40" w:before="40" w:line="283" w:lineRule="auto"/>
            </w:pPr>
            <w:r/>
            <w:r>
              <w:rPr>
                <w:rFonts w:ascii="微软雅黑" w:hAnsi="微软雅黑" w:eastAsia="微软雅黑"/>
                <w:b w:val="0"/>
                <w:sz w:val="18"/>
              </w:rPr>
              <w:t>HLD 概要设计说明书 v0.2</w:t>
            </w:r>
          </w:p>
        </w:tc>
        <w:tc>
          <w:tcPr>
            <w:tcW w:type="dxa" w:w="4535"/>
          </w:tcPr>
          <w:p>
            <w:pPr>
              <w:spacing w:after="40" w:before="40" w:line="283" w:lineRule="auto"/>
            </w:pPr>
            <w:r/>
            <w:r>
              <w:rPr>
                <w:rFonts w:ascii="微软雅黑" w:hAnsi="微软雅黑" w:eastAsia="微软雅黑"/>
                <w:b w:val="0"/>
                <w:sz w:val="18"/>
              </w:rPr>
              <w:t>系统由哪些部分组成、如何连接、失效时的行为</w:t>
            </w:r>
          </w:p>
        </w:tc>
        <w:tc>
          <w:tcPr>
            <w:tcW w:type="dxa" w:w="1247"/>
          </w:tcPr>
          <w:p>
            <w:pPr>
              <w:spacing w:after="40" w:before="40" w:line="283" w:lineRule="auto"/>
            </w:pPr>
            <w:r/>
            <w:r>
              <w:rPr>
                <w:rFonts w:ascii="微软雅黑" w:hAnsi="微软雅黑" w:eastAsia="微软雅黑"/>
                <w:b w:val="0"/>
                <w:sz w:val="18"/>
              </w:rPr>
              <w:t>Word + 8 张插图</w:t>
            </w:r>
          </w:p>
        </w:tc>
      </w:tr>
    </w:tbl>
    <w:p>
      <w:pPr>
        <w:spacing w:before="0" w:after="140"/>
      </w:pPr>
    </w:p>
    <w:p>
      <w:pPr>
        <w:pStyle w:val="Heading2"/>
      </w:pPr>
      <w:r>
        <w:t>1.1  建议的阅读顺序</w:t>
      </w:r>
    </w:p>
    <w:p>
      <w:pPr>
        <w:pStyle w:val="ListNumber"/>
        <w:spacing w:after="40" w:line="307" w:lineRule="auto"/>
      </w:pPr>
      <w:r>
        <w:rPr>
          <w:rFonts w:ascii="微软雅黑" w:hAnsi="微软雅黑" w:eastAsia="微软雅黑"/>
          <w:b w:val="0"/>
          <w:sz w:val="21"/>
        </w:rPr>
        <w:t>HD-00（本文件），约二十分钟。了解交接包的结构与四处已知冲突。</w:t>
      </w:r>
    </w:p>
    <w:p>
      <w:pPr>
        <w:pStyle w:val="ListNumber"/>
        <w:spacing w:after="40" w:line="307" w:lineRule="auto"/>
      </w:pPr>
      <w:r>
        <w:rPr>
          <w:rFonts w:ascii="微软雅黑" w:hAnsi="微软雅黑" w:eastAsia="微软雅黑"/>
          <w:b w:val="0"/>
          <w:sz w:val="21"/>
        </w:rPr>
        <w:t>HD-03 假设与信息需求登记册。**先读这一份再读需求**。知道哪些前提是假设，才不会把假设当成事实去实现。</w:t>
      </w:r>
    </w:p>
    <w:p>
      <w:pPr>
        <w:pStyle w:val="ListNumber"/>
        <w:spacing w:after="40" w:line="307" w:lineRule="auto"/>
      </w:pPr>
      <w:r>
        <w:rPr>
          <w:rFonts w:ascii="微软雅黑" w:hAnsi="微软雅黑" w:eastAsia="微软雅黑"/>
          <w:b w:val="0"/>
          <w:sz w:val="21"/>
        </w:rPr>
        <w:t>HD-01 需求规格说明书第 1 与第 2 章，然后按负责领域读对应章节。</w:t>
      </w:r>
    </w:p>
    <w:p>
      <w:pPr>
        <w:pStyle w:val="ListNumber"/>
        <w:spacing w:after="40" w:line="307" w:lineRule="auto"/>
      </w:pPr>
      <w:r>
        <w:rPr>
          <w:rFonts w:ascii="微软雅黑" w:hAnsi="微软雅黑" w:eastAsia="微软雅黑"/>
          <w:b w:val="0"/>
          <w:sz w:val="21"/>
        </w:rPr>
        <w:t>HLD 全篇。此时读架构，每一个设计选择都能对应到某条需求或某条约束。</w:t>
      </w:r>
    </w:p>
    <w:p>
      <w:pPr>
        <w:pStyle w:val="ListNumber"/>
        <w:spacing w:after="40" w:line="307" w:lineRule="auto"/>
      </w:pPr>
      <w:r>
        <w:rPr>
          <w:rFonts w:ascii="微软雅黑" w:hAnsi="微软雅黑" w:eastAsia="微软雅黑"/>
          <w:b w:val="0"/>
          <w:sz w:val="21"/>
        </w:rPr>
        <w:t>HD-04 设计决策记录。在准备改动任何架构决定之前必须读——"被拒绝的方案"一列记录了已经权衡过的路径。</w:t>
      </w:r>
    </w:p>
    <w:p>
      <w:pPr>
        <w:pStyle w:val="ListNumber"/>
        <w:spacing w:after="40" w:line="307" w:lineRule="auto"/>
      </w:pPr>
      <w:r>
        <w:rPr>
          <w:rFonts w:ascii="微软雅黑" w:hAnsi="微软雅黑" w:eastAsia="微软雅黑"/>
          <w:b w:val="0"/>
          <w:sz w:val="21"/>
        </w:rPr>
        <w:t>HD-02 与 HD-05 作为工作时的查询工具，不必通读。</w:t>
      </w:r>
    </w:p>
    <w:p>
      <w:pPr>
        <w:pStyle w:val="Heading2"/>
      </w:pPr>
      <w:r>
        <w:t>1.2  哪些内容可以直接依赖</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969"/>
        <w:gridCol w:w="4989"/>
      </w:tblGrid>
      <w:tr>
        <w:trPr>
          <w:tblHeader/>
        </w:trPr>
        <w:tc>
          <w:tcPr>
            <w:tcW w:type="dxa" w:w="3969"/>
            <w:shd w:val="clear" w:fill="EEF2FD"/>
          </w:tcPr>
          <w:p>
            <w:pPr>
              <w:spacing w:after="40" w:before="40"/>
            </w:pPr>
            <w:r/>
            <w:r>
              <w:rPr>
                <w:rFonts w:ascii="微软雅黑" w:hAnsi="微软雅黑" w:eastAsia="微软雅黑"/>
                <w:b/>
                <w:color w:val="1E3A8A"/>
                <w:sz w:val="18"/>
              </w:rPr>
              <w:t>内容</w:t>
            </w:r>
          </w:p>
        </w:tc>
        <w:tc>
          <w:tcPr>
            <w:tcW w:type="dxa" w:w="4989"/>
            <w:shd w:val="clear" w:fill="EEF2FD"/>
          </w:tcPr>
          <w:p>
            <w:pPr>
              <w:spacing w:after="40" w:before="40"/>
            </w:pPr>
            <w:r/>
            <w:r>
              <w:rPr>
                <w:rFonts w:ascii="微软雅黑" w:hAnsi="微软雅黑" w:eastAsia="微软雅黑"/>
                <w:b/>
                <w:color w:val="1E3A8A"/>
                <w:sz w:val="18"/>
              </w:rPr>
              <w:t>可依赖程度</w:t>
            </w:r>
          </w:p>
        </w:tc>
      </w:tr>
      <w:tr>
        <w:tc>
          <w:tcPr>
            <w:tcW w:type="dxa" w:w="3969"/>
          </w:tcPr>
          <w:p>
            <w:pPr>
              <w:spacing w:after="40" w:before="40" w:line="283" w:lineRule="auto"/>
            </w:pPr>
            <w:r/>
            <w:r>
              <w:rPr>
                <w:rFonts w:ascii="微软雅黑" w:hAnsi="微软雅黑" w:eastAsia="微软雅黑"/>
                <w:b w:val="0"/>
                <w:sz w:val="18"/>
              </w:rPr>
              <w:t>RFP 原文（Customer Requirements.pdf）</w:t>
            </w:r>
          </w:p>
        </w:tc>
        <w:tc>
          <w:tcPr>
            <w:tcW w:type="dxa" w:w="4989"/>
          </w:tcPr>
          <w:p>
            <w:pPr>
              <w:spacing w:after="40" w:before="40" w:line="283" w:lineRule="auto"/>
            </w:pPr>
            <w:r/>
            <w:r>
              <w:rPr>
                <w:rFonts w:ascii="微软雅黑" w:hAnsi="微软雅黑" w:eastAsia="微软雅黑"/>
                <w:b w:val="0"/>
                <w:sz w:val="18"/>
              </w:rPr>
              <w:t>权威。三份文件出现分歧时以 RFP 为准。</w:t>
            </w:r>
          </w:p>
        </w:tc>
      </w:tr>
      <w:tr>
        <w:tc>
          <w:tcPr>
            <w:tcW w:type="dxa" w:w="3969"/>
          </w:tcPr>
          <w:p>
            <w:pPr>
              <w:spacing w:after="40" w:before="40" w:line="283" w:lineRule="auto"/>
            </w:pPr>
            <w:r/>
            <w:r>
              <w:rPr>
                <w:rFonts w:ascii="微软雅黑" w:hAnsi="微软雅黑" w:eastAsia="微软雅黑"/>
                <w:b w:val="0"/>
                <w:sz w:val="18"/>
              </w:rPr>
              <w:t>HD-01 的需求条目</w:t>
            </w:r>
          </w:p>
        </w:tc>
        <w:tc>
          <w:tcPr>
            <w:tcW w:type="dxa" w:w="4989"/>
          </w:tcPr>
          <w:p>
            <w:pPr>
              <w:spacing w:after="40" w:before="40" w:line="283" w:lineRule="auto"/>
            </w:pPr>
            <w:r/>
            <w:r>
              <w:rPr>
                <w:rFonts w:ascii="微软雅黑" w:hAnsi="微软雅黑" w:eastAsia="微软雅黑"/>
                <w:b w:val="0"/>
                <w:sz w:val="18"/>
              </w:rPr>
              <w:t>可依赖，但依赖 HD-03 中相应假设成立。需求描述中以 AS-xx 引用。</w:t>
            </w:r>
          </w:p>
        </w:tc>
      </w:tr>
      <w:tr>
        <w:tc>
          <w:tcPr>
            <w:tcW w:type="dxa" w:w="3969"/>
          </w:tcPr>
          <w:p>
            <w:pPr>
              <w:spacing w:after="40" w:before="40" w:line="283" w:lineRule="auto"/>
            </w:pPr>
            <w:r/>
            <w:r>
              <w:rPr>
                <w:rFonts w:ascii="微软雅黑" w:hAnsi="微软雅黑" w:eastAsia="微软雅黑"/>
                <w:b w:val="0"/>
                <w:sz w:val="18"/>
              </w:rPr>
              <w:t>HD-03 中状态为"已确认"的假设</w:t>
            </w:r>
          </w:p>
        </w:tc>
        <w:tc>
          <w:tcPr>
            <w:tcW w:type="dxa" w:w="4989"/>
          </w:tcPr>
          <w:p>
            <w:pPr>
              <w:spacing w:after="40" w:before="40" w:line="283" w:lineRule="auto"/>
            </w:pPr>
            <w:r/>
            <w:r>
              <w:rPr>
                <w:rFonts w:ascii="微软雅黑" w:hAnsi="微软雅黑" w:eastAsia="微软雅黑"/>
                <w:b w:val="0"/>
                <w:sz w:val="18"/>
              </w:rPr>
              <w:t>可依赖。依据来自客户或联合体的明确答复。</w:t>
            </w:r>
          </w:p>
        </w:tc>
      </w:tr>
      <w:tr>
        <w:tc>
          <w:tcPr>
            <w:tcW w:type="dxa" w:w="3969"/>
          </w:tcPr>
          <w:p>
            <w:pPr>
              <w:spacing w:after="40" w:before="40" w:line="283" w:lineRule="auto"/>
            </w:pPr>
            <w:r/>
            <w:r>
              <w:rPr>
                <w:rFonts w:ascii="微软雅黑" w:hAnsi="微软雅黑" w:eastAsia="微软雅黑"/>
                <w:b w:val="0"/>
                <w:sz w:val="18"/>
              </w:rPr>
              <w:t>HD-03 中状态为"待确认"或"未确认"的假设</w:t>
            </w:r>
          </w:p>
        </w:tc>
        <w:tc>
          <w:tcPr>
            <w:tcW w:type="dxa" w:w="4989"/>
          </w:tcPr>
          <w:p>
            <w:pPr>
              <w:spacing w:after="40" w:before="40" w:line="283" w:lineRule="auto"/>
            </w:pPr>
            <w:r/>
            <w:r>
              <w:rPr>
                <w:rFonts w:ascii="微软雅黑" w:hAnsi="微软雅黑" w:eastAsia="微软雅黑"/>
                <w:b w:val="0"/>
                <w:sz w:val="18"/>
              </w:rPr>
              <w:t>不可依赖。开工前须复核。</w:t>
            </w:r>
          </w:p>
        </w:tc>
      </w:tr>
      <w:tr>
        <w:tc>
          <w:tcPr>
            <w:tcW w:type="dxa" w:w="3969"/>
          </w:tcPr>
          <w:p>
            <w:pPr>
              <w:spacing w:after="40" w:before="40" w:line="283" w:lineRule="auto"/>
            </w:pPr>
            <w:r/>
            <w:r>
              <w:rPr>
                <w:rFonts w:ascii="微软雅黑" w:hAnsi="微软雅黑" w:eastAsia="微软雅黑"/>
                <w:b w:val="0"/>
                <w:sz w:val="18"/>
              </w:rPr>
              <w:t>HLD v0.2 的架构与组件</w:t>
            </w:r>
          </w:p>
        </w:tc>
        <w:tc>
          <w:tcPr>
            <w:tcW w:type="dxa" w:w="4989"/>
          </w:tcPr>
          <w:p>
            <w:pPr>
              <w:spacing w:after="40" w:before="40" w:line="283" w:lineRule="auto"/>
            </w:pPr>
            <w:r/>
            <w:r>
              <w:rPr>
                <w:rFonts w:ascii="微软雅黑" w:hAnsi="微软雅黑" w:eastAsia="微软雅黑"/>
                <w:b w:val="0"/>
                <w:sz w:val="18"/>
              </w:rPr>
              <w:t>可依赖。v0.1 已作废，其中的报表数量与对外接口表述均为旧值。</w:t>
            </w:r>
          </w:p>
        </w:tc>
      </w:tr>
      <w:tr>
        <w:tc>
          <w:tcPr>
            <w:tcW w:type="dxa" w:w="3969"/>
          </w:tcPr>
          <w:p>
            <w:pPr>
              <w:spacing w:after="40" w:before="40" w:line="283" w:lineRule="auto"/>
            </w:pPr>
            <w:r/>
            <w:r>
              <w:rPr>
                <w:rFonts w:ascii="微软雅黑" w:hAnsi="微软雅黑" w:eastAsia="微软雅黑"/>
                <w:b w:val="0"/>
                <w:sz w:val="18"/>
              </w:rPr>
              <w:t>HD-05 的清单</w:t>
            </w:r>
          </w:p>
        </w:tc>
        <w:tc>
          <w:tcPr>
            <w:tcW w:type="dxa" w:w="4989"/>
          </w:tcPr>
          <w:p>
            <w:pPr>
              <w:spacing w:after="40" w:before="40" w:line="283" w:lineRule="auto"/>
            </w:pPr>
            <w:r/>
            <w:r>
              <w:rPr>
                <w:rFonts w:ascii="微软雅黑" w:hAnsi="微软雅黑" w:eastAsia="微软雅黑"/>
                <w:b w:val="0"/>
                <w:sz w:val="18"/>
              </w:rPr>
              <w:t>初稿。数量是承诺，具体条目是工作坊的输入。</w:t>
            </w:r>
          </w:p>
        </w:tc>
      </w:tr>
    </w:tbl>
    <w:p>
      <w:pPr>
        <w:spacing w:before="0" w:after="140"/>
      </w:pPr>
    </w:p>
    <w:p>
      <w:r>
        <w:br w:type="page"/>
      </w:r>
    </w:p>
    <w:p>
      <w:pPr>
        <w:pStyle w:val="Heading1"/>
      </w:pPr>
      <w:r>
        <w:t>2  四处必须先知道的事</w:t>
      </w:r>
    </w:p>
    <w:p>
      <w:pPr>
        <w:spacing w:before="0" w:after="80"/>
      </w:pPr>
      <w:r>
        <w:rPr>
          <w:rFonts w:ascii="微软雅黑" w:hAnsi="微软雅黑" w:eastAsia="微软雅黑"/>
          <w:b w:val="0"/>
          <w:sz w:val="21"/>
        </w:rPr>
        <w:t>下列四项在早期设计讨论中未被识别，是在整理本交接包、逐条复核 RFP 条款时才发现的。前两项已在本交接包中修正，后两项需要商务处置。</w:t>
      </w:r>
    </w:p>
    <w:p>
      <w:pPr>
        <w:pStyle w:val="Heading2"/>
      </w:pPr>
      <w:r>
        <w:t>2.1  报表与仪表板的数量是四十与二十，不是三十与十二（已修正）</w:t>
      </w:r>
    </w:p>
    <w:p>
      <w:pPr>
        <w:spacing w:before="0" w:after="80"/>
      </w:pPr>
      <w:r>
        <w:rPr>
          <w:rFonts w:ascii="微软雅黑" w:hAnsi="微软雅黑" w:eastAsia="微软雅黑"/>
          <w:b w:val="0"/>
          <w:sz w:val="21"/>
        </w:rPr>
        <w:t>RFP 1.6.2.25 规定每个中心四十张自定义报表与二十个仪表板，是硬数字。早期设计文档中的"三十张报表、十二个仪表板"来源于方案讨论而非条款，已作废。HD-05 按四十加二十编制；HLD v0.2 的 7.4 与 8.2 已相应更正。</w:t>
      </w:r>
    </w:p>
    <w:p>
      <w:pPr>
        <w:spacing w:before="0" w:after="80"/>
      </w:pPr>
      <w:r>
        <w:rPr>
          <w:rFonts w:ascii="微软雅黑" w:hAnsi="微软雅黑" w:eastAsia="微软雅黑"/>
          <w:b w:val="0"/>
          <w:sz w:val="21"/>
        </w:rPr>
        <w:t>遗留问题：RFP 1.6.2.18 与 1.6.2.28 另要求复刻现有麦加 911 报表。本交接包按"复刻项包含在四十张之内"编制，但这是解读。若 MOI 认为另行计数，交付量可能接近翻倍。见 HD-03 的 AS-08 与 IR-33。</w:t>
      </w:r>
    </w:p>
    <w:p>
      <w:pPr>
        <w:pStyle w:val="Heading2"/>
      </w:pPr>
      <w:r>
        <w:t>2.2  对外数据服务是强制交付，不是预留能力（已修正）</w:t>
      </w:r>
    </w:p>
    <w:p>
      <w:pPr>
        <w:spacing w:before="0" w:after="80"/>
      </w:pPr>
      <w:r>
        <w:rPr>
          <w:rFonts w:ascii="微软雅黑" w:hAnsi="微软雅黑" w:eastAsia="微软雅黑"/>
          <w:b w:val="0"/>
          <w:sz w:val="21"/>
        </w:rPr>
        <w:t>RFP 在三处分别提出要求：1.6.2.29 要求以 Web 服务提供主要警情与告警信息，供其它 MOI 应用消费；1.6.2.31.1 要求将库与数据结构以数据服务形式暴露；1.6.2.31.2 要求为 ESB 开发适配器。</w:t>
      </w:r>
    </w:p>
    <w:p>
      <w:pPr>
        <w:spacing w:before="0" w:after="80"/>
      </w:pPr>
      <w:r>
        <w:rPr>
          <w:rFonts w:ascii="微软雅黑" w:hAnsi="微软雅黑" w:eastAsia="微软雅黑"/>
          <w:b w:val="0"/>
          <w:sz w:val="21"/>
        </w:rPr>
        <w:t>早期判断是"保留为能力但不承诺具体消费方"，理由是 DS 的大屏不交付因而没有已知消费方。这个判断混淆了"没有已知消费方"与"没有要求"。现已按必须交付项处理（REQ-API-01 至 03，决策记录 DD-24）。HLD v0.2 的 7.7 已改写为"对外数据服务与 ESB 适配器（必须交付）"。需要注意 ESB 由总包商提供，适配器的交付时间不由我方控制（AS-24、IR-26）。</w:t>
      </w:r>
    </w:p>
    <w:p>
      <w:pPr>
        <w:pStyle w:val="Heading2"/>
      </w:pPr>
      <w:r>
        <w:t>2.3  移动应用与 RFP 存在实质差异（需商务处置）</w:t>
      </w:r>
    </w:p>
    <w:p>
      <w:pPr>
        <w:spacing w:before="0" w:after="80"/>
      </w:pPr>
      <w:r>
        <w:rPr>
          <w:rFonts w:ascii="微软雅黑" w:hAnsi="微软雅黑" w:eastAsia="微软雅黑"/>
          <w:b w:val="0"/>
          <w:sz w:val="21"/>
        </w:rPr>
        <w:t>RFP 1.3.2.12.15 明确要求信息可通过运行于 iOS 与 / 或 Android 设备的应用访问，与浏览器并列，不是可选项。早期曾将移动端列为后续阶段，理由是内政部专网不具备公网可达性导致推送不可用；该理由在详细设计阶段被推翻——系统设有 DMZ 区与短信、邮件网关，移动端本期按只读聚合管理看板交付，不使用设备推送，差异已消解（见 AS-09 与 HLD 8.4）。</w:t>
      </w:r>
    </w:p>
    <w:p>
      <w:pPr>
        <w:spacing w:before="0" w:after="80"/>
      </w:pPr>
      <w:r>
        <w:rPr>
          <w:rFonts w:ascii="微软雅黑" w:hAnsi="微软雅黑" w:eastAsia="微软雅黑"/>
          <w:b w:val="0"/>
          <w:sz w:val="21"/>
        </w:rPr>
        <w:t>这是真实的技术约束，但不能默默减项。建议在 Q&amp;A 阶段以"请说明在专网条件下移动端告警推送的实现方式"为题提出，把约束变成双方共同认识的事实。见 AS-09、IR-32。</w:t>
      </w:r>
    </w:p>
    <w:p>
      <w:pPr>
        <w:pStyle w:val="Heading2"/>
      </w:pPr>
      <w:r>
        <w:t>2.4  COTS 交付形态与定制开发的前提冲突（需商务处置）</w:t>
      </w:r>
    </w:p>
    <w:p>
      <w:pPr>
        <w:spacing w:before="0" w:after="80"/>
      </w:pPr>
      <w:r>
        <w:rPr>
          <w:rFonts w:ascii="微软雅黑" w:hAnsi="微软雅黑" w:eastAsia="微软雅黑"/>
          <w:b w:val="0"/>
          <w:sz w:val="21"/>
        </w:rPr>
        <w:t>RFP 1.6.1.27 要求以商用成品形态交付，1.6.1.28 要求产品上市满五年且未来五年不 EOL。本项目为定制开发。项目方针是以核心开源组件公开发布满五年应对，不另行举证产品历史。</w:t>
      </w:r>
    </w:p>
    <w:p>
      <w:pPr>
        <w:spacing w:before="0" w:after="80"/>
      </w:pPr>
      <w:r>
        <w:rPr>
          <w:rFonts w:ascii="微软雅黑" w:hAnsi="微软雅黑" w:eastAsia="微软雅黑"/>
          <w:b w:val="0"/>
          <w:sz w:val="21"/>
        </w:rPr>
        <w:t>对开发组的实际影响是一条纪律：组件与版本清单、上游发布历史与支持周期说明应当从项目第一天起按可举证的标准维护（REQ-LIC-02、REQ-LIC-07），而不是等需要举证时再补。见 AS-01。</w:t>
      </w:r>
    </w:p>
    <w:tbl>
      <w:tblPr>
        <w:tblW w:type="auto" w:w="0"/>
        <w:jc w:val="center"/>
        <w:tblLook w:firstColumn="1" w:firstRow="1" w:lastColumn="0" w:lastRow="0" w:noHBand="0" w:noVBand="1" w:val="04A0"/>
        <w:tblBorders>
          <w:top w:val="single" w:sz="4" w:space="0" w:color="B91C1C"/>
          <w:left w:val="single" w:sz="4" w:space="0" w:color="B91C1C"/>
          <w:bottom w:val="single" w:sz="4" w:space="0" w:color="B91C1C"/>
          <w:right w:val="single" w:sz="4" w:space="0" w:color="B91C1C"/>
          <w:insideH w:val="single" w:sz="4" w:space="0" w:color="B91C1C"/>
          <w:insideV w:val="single" w:sz="4" w:space="0" w:color="B91C1C"/>
        </w:tblBorders>
      </w:tblPr>
      <w:tblGrid>
        <w:gridCol w:w="9298"/>
      </w:tblGrid>
      <w:tr>
        <w:tc>
          <w:tcPr>
            <w:tcW w:type="dxa" w:w="9298"/>
            <w:shd w:val="clear" w:fill="FDEEEE"/>
          </w:tcPr>
          <w:p>
            <w:pPr>
              <w:spacing w:before="80" w:after="40"/>
            </w:pPr>
            <w:r>
              <w:t>从这四处得出的一个方法论结论</w:t>
              <w:br/>
              <w:t>凭方案讨论的记忆去理解需求会漏掉硬指标。条款级的逐条复核不可省略。HD-02 追溯矩阵中"需人工复核的条款"一页保留了尚未被需求直接引用的条款，开发组应在开工前逐条确认它们确实已被领域需求覆盖。这一页不应长期保持非空。</w:t>
            </w:r>
          </w:p>
        </w:tc>
      </w:tr>
    </w:tbl>
    <w:p>
      <w:pPr>
        <w:spacing w:before="0" w:after="160"/>
      </w:pPr>
    </w:p>
    <w:p>
      <w:r>
        <w:br w:type="page"/>
      </w:r>
    </w:p>
    <w:p>
      <w:pPr>
        <w:pStyle w:val="Heading1"/>
      </w:pPr>
      <w:r>
        <w:t>3  开工前必须完成的事</w:t>
      </w:r>
    </w:p>
    <w:p>
      <w:pPr>
        <w:spacing w:before="0" w:after="80"/>
      </w:pPr>
      <w:r>
        <w:rPr>
          <w:rFonts w:ascii="微软雅黑" w:hAnsi="微软雅黑" w:eastAsia="微软雅黑"/>
          <w:b w:val="0"/>
          <w:sz w:val="21"/>
        </w:rPr>
        <w:t>下列事项不是"最好做完"，而是做不完就不应开工的部分。</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061"/>
        <w:gridCol w:w="4195"/>
        <w:gridCol w:w="1701"/>
      </w:tblGrid>
      <w:tr>
        <w:trPr>
          <w:tblHeader/>
        </w:trPr>
        <w:tc>
          <w:tcPr>
            <w:tcW w:type="dxa" w:w="3061"/>
            <w:shd w:val="clear" w:fill="EEF2FD"/>
          </w:tcPr>
          <w:p>
            <w:pPr>
              <w:spacing w:after="40" w:before="40"/>
            </w:pPr>
            <w:r/>
            <w:r>
              <w:rPr>
                <w:rFonts w:ascii="微软雅黑" w:hAnsi="微软雅黑" w:eastAsia="微软雅黑"/>
                <w:b/>
                <w:color w:val="1E3A8A"/>
                <w:sz w:val="18"/>
              </w:rPr>
              <w:t>事项</w:t>
            </w:r>
          </w:p>
        </w:tc>
        <w:tc>
          <w:tcPr>
            <w:tcW w:type="dxa" w:w="4195"/>
            <w:shd w:val="clear" w:fill="EEF2FD"/>
          </w:tcPr>
          <w:p>
            <w:pPr>
              <w:spacing w:after="40" w:before="40"/>
            </w:pPr>
            <w:r/>
            <w:r>
              <w:rPr>
                <w:rFonts w:ascii="微软雅黑" w:hAnsi="微软雅黑" w:eastAsia="微软雅黑"/>
                <w:b/>
                <w:color w:val="1E3A8A"/>
                <w:sz w:val="18"/>
              </w:rPr>
              <w:t>为什么</w:t>
            </w:r>
          </w:p>
        </w:tc>
        <w:tc>
          <w:tcPr>
            <w:tcW w:type="dxa" w:w="1701"/>
            <w:shd w:val="clear" w:fill="EEF2FD"/>
          </w:tcPr>
          <w:p>
            <w:pPr>
              <w:spacing w:after="40" w:before="40"/>
            </w:pPr>
            <w:r/>
            <w:r>
              <w:rPr>
                <w:rFonts w:ascii="微软雅黑" w:hAnsi="微软雅黑" w:eastAsia="微软雅黑"/>
                <w:b/>
                <w:color w:val="1E3A8A"/>
                <w:sz w:val="18"/>
              </w:rPr>
              <w:t>对应编号</w:t>
            </w:r>
          </w:p>
        </w:tc>
      </w:tr>
      <w:tr>
        <w:tc>
          <w:tcPr>
            <w:tcW w:type="dxa" w:w="3061"/>
          </w:tcPr>
          <w:p>
            <w:pPr>
              <w:spacing w:after="40" w:before="40" w:line="283" w:lineRule="auto"/>
            </w:pPr>
            <w:r>
              <w:t>复核 HD-03 中状态为「待确认」「未确认」「待冻结」「待验证」的假设</w:t>
            </w:r>
          </w:p>
        </w:tc>
        <w:tc>
          <w:tcPr>
            <w:tcW w:type="dxa" w:w="4195"/>
          </w:tcPr>
          <w:p>
            <w:pPr>
              <w:spacing w:after="40" w:before="40" w:line="283" w:lineRule="auto"/>
            </w:pPr>
            <w:r/>
            <w:r>
              <w:rPr>
                <w:rFonts w:ascii="微软雅黑" w:hAnsi="微软雅黑" w:eastAsia="微软雅黑"/>
                <w:b w:val="0"/>
                <w:sz w:val="18"/>
              </w:rPr>
              <w:t>把假设当事实去实现，是本项目最可能出现的返工来源</w:t>
            </w:r>
          </w:p>
        </w:tc>
        <w:tc>
          <w:tcPr>
            <w:tcW w:type="dxa" w:w="1701"/>
          </w:tcPr>
          <w:p>
            <w:pPr>
              <w:spacing w:after="40" w:before="40" w:line="283" w:lineRule="auto"/>
            </w:pPr>
            <w:r/>
            <w:r>
              <w:rPr>
                <w:rFonts w:ascii="微软雅黑" w:hAnsi="微软雅黑" w:eastAsia="微软雅黑"/>
                <w:b w:val="0"/>
                <w:sz w:val="18"/>
              </w:rPr>
              <w:t>HD-03 第 2 章</w:t>
            </w:r>
          </w:p>
        </w:tc>
      </w:tr>
      <w:tr>
        <w:tc>
          <w:tcPr>
            <w:tcW w:type="dxa" w:w="3061"/>
          </w:tcPr>
          <w:p>
            <w:pPr>
              <w:spacing w:after="40" w:before="40" w:line="283" w:lineRule="auto"/>
            </w:pPr>
            <w:r/>
            <w:r>
              <w:rPr>
                <w:rFonts w:ascii="微软雅黑" w:hAnsi="微软雅黑" w:eastAsia="微软雅黑"/>
                <w:b w:val="0"/>
                <w:sz w:val="18"/>
              </w:rPr>
              <w:t>发出四组对外询问件（DS、ICP、总包商、MOI）</w:t>
            </w:r>
          </w:p>
        </w:tc>
        <w:tc>
          <w:tcPr>
            <w:tcW w:type="dxa" w:w="4195"/>
          </w:tcPr>
          <w:p>
            <w:pPr>
              <w:spacing w:after="40" w:before="40" w:line="283" w:lineRule="auto"/>
            </w:pPr>
            <w:r/>
            <w:r>
              <w:rPr>
                <w:rFonts w:ascii="微软雅黑" w:hAnsi="微软雅黑" w:eastAsia="微软雅黑"/>
                <w:b w:val="0"/>
                <w:sz w:val="18"/>
              </w:rPr>
              <w:t>答复周期长，越晚发出越可能成为进度瓶颈</w:t>
            </w:r>
          </w:p>
        </w:tc>
        <w:tc>
          <w:tcPr>
            <w:tcW w:type="dxa" w:w="1701"/>
          </w:tcPr>
          <w:p>
            <w:pPr>
              <w:spacing w:after="40" w:before="40" w:line="283" w:lineRule="auto"/>
            </w:pPr>
            <w:r/>
            <w:r>
              <w:rPr>
                <w:rFonts w:ascii="微软雅黑" w:hAnsi="微软雅黑" w:eastAsia="微软雅黑"/>
                <w:b w:val="0"/>
                <w:sz w:val="18"/>
              </w:rPr>
              <w:t>HD-03 第 6 章</w:t>
            </w:r>
          </w:p>
        </w:tc>
      </w:tr>
      <w:tr>
        <w:tc>
          <w:tcPr>
            <w:tcW w:type="dxa" w:w="3061"/>
          </w:tcPr>
          <w:p>
            <w:pPr>
              <w:spacing w:after="40" w:before="40" w:line="283" w:lineRule="auto"/>
            </w:pPr>
            <w:r>
              <w:t>确认 HD-02「需人工复核的条款」一页中的条款确已被覆盖</w:t>
            </w:r>
          </w:p>
        </w:tc>
        <w:tc>
          <w:tcPr>
            <w:tcW w:type="dxa" w:w="4195"/>
          </w:tcPr>
          <w:p>
            <w:pPr>
              <w:spacing w:after="40" w:before="40" w:line="283" w:lineRule="auto"/>
            </w:pPr>
            <w:r/>
            <w:r>
              <w:rPr>
                <w:rFonts w:ascii="微软雅黑" w:hAnsi="微软雅黑" w:eastAsia="微软雅黑"/>
                <w:b w:val="0"/>
                <w:sz w:val="18"/>
              </w:rPr>
              <w:t>避免开发完成后才发现漏项</w:t>
            </w:r>
          </w:p>
        </w:tc>
        <w:tc>
          <w:tcPr>
            <w:tcW w:type="dxa" w:w="1701"/>
          </w:tcPr>
          <w:p>
            <w:pPr>
              <w:spacing w:after="40" w:before="40" w:line="283" w:lineRule="auto"/>
            </w:pPr>
            <w:r/>
            <w:r>
              <w:rPr>
                <w:rFonts w:ascii="微软雅黑" w:hAnsi="微软雅黑" w:eastAsia="微软雅黑"/>
                <w:b w:val="0"/>
                <w:sz w:val="18"/>
              </w:rPr>
              <w:t>HD-02 需人工复核的条款</w:t>
            </w:r>
          </w:p>
        </w:tc>
      </w:tr>
      <w:tr>
        <w:tc>
          <w:tcPr>
            <w:tcW w:type="dxa" w:w="3061"/>
          </w:tcPr>
          <w:p>
            <w:pPr>
              <w:spacing w:after="40" w:before="40" w:line="283" w:lineRule="auto"/>
            </w:pPr>
            <w:r/>
            <w:r>
              <w:rPr>
                <w:rFonts w:ascii="微软雅黑" w:hAnsi="微软雅黑" w:eastAsia="微软雅黑"/>
                <w:b w:val="0"/>
                <w:sz w:val="18"/>
              </w:rPr>
              <w:t>把两项前置门写入项目计划的里程碑约束</w:t>
            </w:r>
          </w:p>
        </w:tc>
        <w:tc>
          <w:tcPr>
            <w:tcW w:type="dxa" w:w="4195"/>
          </w:tcPr>
          <w:p>
            <w:pPr>
              <w:spacing w:after="40" w:before="40" w:line="283" w:lineRule="auto"/>
            </w:pPr>
            <w:r/>
            <w:r>
              <w:rPr>
                <w:rFonts w:ascii="微软雅黑" w:hAnsi="微软雅黑" w:eastAsia="微软雅黑"/>
                <w:b w:val="0"/>
                <w:sz w:val="18"/>
              </w:rPr>
              <w:t>数据分类政策与 DLP 登记册未经 MOI 批准，任何数据库不得进入生产与培训环境</w:t>
            </w:r>
          </w:p>
        </w:tc>
        <w:tc>
          <w:tcPr>
            <w:tcW w:type="dxa" w:w="1701"/>
          </w:tcPr>
          <w:p>
            <w:pPr>
              <w:spacing w:after="40" w:before="40" w:line="283" w:lineRule="auto"/>
            </w:pPr>
            <w:r/>
            <w:r>
              <w:rPr>
                <w:rFonts w:ascii="微软雅黑" w:hAnsi="微软雅黑" w:eastAsia="微软雅黑"/>
                <w:b w:val="0"/>
                <w:sz w:val="18"/>
              </w:rPr>
              <w:t>CN-13 · CN-14 · REQ-GOV-02 · REQ-GOV-03</w:t>
            </w:r>
          </w:p>
        </w:tc>
      </w:tr>
      <w:tr>
        <w:tc>
          <w:tcPr>
            <w:tcW w:type="dxa" w:w="3061"/>
          </w:tcPr>
          <w:p>
            <w:pPr>
              <w:spacing w:after="40" w:before="40" w:line="283" w:lineRule="auto"/>
            </w:pPr>
            <w:r/>
            <w:r>
              <w:rPr>
                <w:rFonts w:ascii="微软雅黑" w:hAnsi="微软雅黑" w:eastAsia="微软雅黑"/>
                <w:b w:val="0"/>
                <w:sz w:val="18"/>
              </w:rPr>
              <w:t>把迁移方案的两个月硬期限写入项目计划</w:t>
            </w:r>
          </w:p>
        </w:tc>
        <w:tc>
          <w:tcPr>
            <w:tcW w:type="dxa" w:w="4195"/>
          </w:tcPr>
          <w:p>
            <w:pPr>
              <w:spacing w:after="40" w:before="40" w:line="283" w:lineRule="auto"/>
            </w:pPr>
            <w:r/>
            <w:r>
              <w:rPr>
                <w:rFonts w:ascii="微软雅黑" w:hAnsi="微软雅黑" w:eastAsia="微软雅黑"/>
                <w:b w:val="0"/>
                <w:sz w:val="18"/>
              </w:rPr>
              <w:t>RFP 2.7.7.3 规定合同授予后两个月内提交，且依赖对现有环境的分析已完成</w:t>
            </w:r>
          </w:p>
        </w:tc>
        <w:tc>
          <w:tcPr>
            <w:tcW w:type="dxa" w:w="1701"/>
          </w:tcPr>
          <w:p>
            <w:pPr>
              <w:spacing w:after="40" w:before="40" w:line="283" w:lineRule="auto"/>
            </w:pPr>
            <w:r/>
            <w:r>
              <w:rPr>
                <w:rFonts w:ascii="微软雅黑" w:hAnsi="微软雅黑" w:eastAsia="微软雅黑"/>
                <w:b w:val="0"/>
                <w:sz w:val="18"/>
              </w:rPr>
              <w:t>CN-15 · REQ-MIG-06</w:t>
            </w:r>
          </w:p>
        </w:tc>
      </w:tr>
      <w:tr>
        <w:tc>
          <w:tcPr>
            <w:tcW w:type="dxa" w:w="3061"/>
          </w:tcPr>
          <w:p>
            <w:pPr>
              <w:spacing w:after="40" w:before="40" w:line="283" w:lineRule="auto"/>
            </w:pPr>
            <w:r/>
            <w:r>
              <w:rPr>
                <w:rFonts w:ascii="微软雅黑" w:hAnsi="微软雅黑" w:eastAsia="微软雅黑"/>
                <w:b w:val="0"/>
                <w:sz w:val="18"/>
              </w:rPr>
              <w:t>与总包商确认十七条放置与隔离要求的可满足性</w:t>
            </w:r>
          </w:p>
        </w:tc>
        <w:tc>
          <w:tcPr>
            <w:tcW w:type="dxa" w:w="4195"/>
          </w:tcPr>
          <w:p>
            <w:pPr>
              <w:spacing w:after="40" w:before="40" w:line="283" w:lineRule="auto"/>
            </w:pPr>
            <w:r/>
            <w:r>
              <w:rPr>
                <w:rFonts w:ascii="微软雅黑" w:hAnsi="微软雅黑" w:eastAsia="微软雅黑"/>
                <w:b w:val="0"/>
                <w:sz w:val="18"/>
              </w:rPr>
              <w:t>任何一条不能满足，须重新评估服务水平承诺，而不是调整设计</w:t>
            </w:r>
          </w:p>
        </w:tc>
        <w:tc>
          <w:tcPr>
            <w:tcW w:type="dxa" w:w="1701"/>
          </w:tcPr>
          <w:p>
            <w:pPr>
              <w:spacing w:after="40" w:before="40" w:line="283" w:lineRule="auto"/>
            </w:pPr>
            <w:r/>
            <w:r>
              <w:rPr>
                <w:rFonts w:ascii="微软雅黑" w:hAnsi="微软雅黑" w:eastAsia="微软雅黑"/>
                <w:b w:val="0"/>
                <w:sz w:val="18"/>
              </w:rPr>
              <w:t>CN-25 · IR-22 · HLD 12.2</w:t>
            </w:r>
          </w:p>
        </w:tc>
      </w:tr>
      <w:tr>
        <w:tc>
          <w:tcPr>
            <w:tcW w:type="dxa" w:w="3061"/>
          </w:tcPr>
          <w:p>
            <w:pPr>
              <w:spacing w:after="40" w:before="40" w:line="283" w:lineRule="auto"/>
            </w:pPr>
            <w:r/>
            <w:r>
              <w:rPr>
                <w:rFonts w:ascii="微软雅黑" w:hAnsi="微软雅黑" w:eastAsia="微软雅黑"/>
                <w:b w:val="0"/>
                <w:sz w:val="18"/>
              </w:rPr>
              <w:t>取得服务水平判定口径的书面认可</w:t>
            </w:r>
          </w:p>
        </w:tc>
        <w:tc>
          <w:tcPr>
            <w:tcW w:type="dxa" w:w="4195"/>
          </w:tcPr>
          <w:p>
            <w:pPr>
              <w:spacing w:after="40" w:before="40" w:line="283" w:lineRule="auto"/>
            </w:pPr>
            <w:r/>
            <w:r>
              <w:rPr>
                <w:rFonts w:ascii="微软雅黑" w:hAnsi="微软雅黑" w:eastAsia="微软雅黑"/>
                <w:b w:val="0"/>
                <w:sz w:val="18"/>
              </w:rPr>
              <w:t>未事先谈定判定口径的自证等同于没有证据</w:t>
            </w:r>
          </w:p>
        </w:tc>
        <w:tc>
          <w:tcPr>
            <w:tcW w:type="dxa" w:w="1701"/>
          </w:tcPr>
          <w:p>
            <w:pPr>
              <w:spacing w:after="40" w:before="40" w:line="283" w:lineRule="auto"/>
            </w:pPr>
            <w:r/>
            <w:r>
              <w:rPr>
                <w:rFonts w:ascii="微软雅黑" w:hAnsi="微软雅黑" w:eastAsia="微软雅黑"/>
                <w:b w:val="0"/>
                <w:sz w:val="18"/>
              </w:rPr>
              <w:t>IR-21 · REQ-AVL-04</w:t>
            </w:r>
          </w:p>
        </w:tc>
      </w:tr>
    </w:tbl>
    <w:p>
      <w:pPr>
        <w:spacing w:before="0" w:after="140"/>
      </w:pPr>
    </w:p>
    <w:p>
      <w:pPr>
        <w:pStyle w:val="Heading1"/>
      </w:pPr>
      <w:r>
        <w:t>4  开发上最容易走错的六处</w:t>
      </w:r>
    </w:p>
    <w:p>
      <w:pPr>
        <w:spacing w:before="0" w:after="80"/>
      </w:pPr>
      <w:r>
        <w:rPr>
          <w:rFonts w:ascii="微软雅黑" w:hAnsi="微软雅黑" w:eastAsia="微软雅黑"/>
          <w:b w:val="0"/>
          <w:sz w:val="21"/>
        </w:rPr>
        <w:t>这些不是需求，是根据设计意图给出的实现纪律。违反其中任何一条，系统仍然能跑，但会在上线后以很难修复的方式出问题。</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515"/>
        <w:gridCol w:w="5443"/>
      </w:tblGrid>
      <w:tr>
        <w:trPr>
          <w:tblHeader/>
        </w:trPr>
        <w:tc>
          <w:tcPr>
            <w:tcW w:type="dxa" w:w="3515"/>
            <w:shd w:val="clear" w:fill="EEF2FD"/>
          </w:tcPr>
          <w:p>
            <w:pPr>
              <w:spacing w:after="40" w:before="40"/>
            </w:pPr>
            <w:r/>
            <w:r>
              <w:rPr>
                <w:rFonts w:ascii="微软雅黑" w:hAnsi="微软雅黑" w:eastAsia="微软雅黑"/>
                <w:b/>
                <w:color w:val="1E3A8A"/>
                <w:sz w:val="18"/>
              </w:rPr>
              <w:t>纪律</w:t>
            </w:r>
          </w:p>
        </w:tc>
        <w:tc>
          <w:tcPr>
            <w:tcW w:type="dxa" w:w="5443"/>
            <w:shd w:val="clear" w:fill="EEF2FD"/>
          </w:tcPr>
          <w:p>
            <w:pPr>
              <w:spacing w:after="40" w:before="40"/>
            </w:pPr>
            <w:r/>
            <w:r>
              <w:rPr>
                <w:rFonts w:ascii="微软雅黑" w:hAnsi="微软雅黑" w:eastAsia="微软雅黑"/>
                <w:b/>
                <w:color w:val="1E3A8A"/>
                <w:sz w:val="18"/>
              </w:rPr>
              <w:t>违反后的后果</w:t>
            </w:r>
          </w:p>
        </w:tc>
      </w:tr>
      <w:tr>
        <w:tc>
          <w:tcPr>
            <w:tcW w:type="dxa" w:w="3515"/>
          </w:tcPr>
          <w:p>
            <w:pPr>
              <w:spacing w:after="40" w:before="40" w:line="283" w:lineRule="auto"/>
            </w:pPr>
            <w:r/>
            <w:r>
              <w:rPr>
                <w:rFonts w:ascii="微软雅黑" w:hAnsi="微软雅黑" w:eastAsia="微软雅黑"/>
                <w:b w:val="0"/>
                <w:sz w:val="18"/>
              </w:rPr>
              <w:t>raw 层只追加、不覆盖、不修正</w:t>
            </w:r>
          </w:p>
        </w:tc>
        <w:tc>
          <w:tcPr>
            <w:tcW w:type="dxa" w:w="5443"/>
          </w:tcPr>
          <w:p>
            <w:pPr>
              <w:spacing w:after="40" w:before="40" w:line="283" w:lineRule="auto"/>
            </w:pPr>
            <w:r/>
            <w:r>
              <w:rPr>
                <w:rFonts w:ascii="微软雅黑" w:hAnsi="微软雅黑" w:eastAsia="微软雅黑"/>
                <w:b w:val="0"/>
                <w:sz w:val="18"/>
              </w:rPr>
              <w:t>失去在数据争议中自证的能力，也失去"以后理解了可重算全部历史"的能力（DD-02）</w:t>
            </w:r>
          </w:p>
        </w:tc>
      </w:tr>
      <w:tr>
        <w:tc>
          <w:tcPr>
            <w:tcW w:type="dxa" w:w="3515"/>
          </w:tcPr>
          <w:p>
            <w:pPr>
              <w:spacing w:after="40" w:before="40" w:line="283" w:lineRule="auto"/>
            </w:pPr>
            <w:r/>
            <w:r>
              <w:rPr>
                <w:rFonts w:ascii="微软雅黑" w:hAnsi="微软雅黑" w:eastAsia="微软雅黑"/>
                <w:b w:val="0"/>
                <w:sz w:val="18"/>
              </w:rPr>
              <w:t>mart 与 ai 只能从 core 构建，不得直接引用 raw</w:t>
            </w:r>
          </w:p>
        </w:tc>
        <w:tc>
          <w:tcPr>
            <w:tcW w:type="dxa" w:w="5443"/>
          </w:tcPr>
          <w:p>
            <w:pPr>
              <w:spacing w:after="40" w:before="40" w:line="283" w:lineRule="auto"/>
            </w:pPr>
            <w:r/>
            <w:r>
              <w:rPr>
                <w:rFonts w:ascii="微软雅黑" w:hAnsi="微软雅黑" w:eastAsia="微软雅黑"/>
                <w:b w:val="0"/>
                <w:sz w:val="18"/>
              </w:rPr>
              <w:t>同一指标出现两个数字，且两者都能自证（DD-03）</w:t>
            </w:r>
          </w:p>
        </w:tc>
      </w:tr>
      <w:tr>
        <w:tc>
          <w:tcPr>
            <w:tcW w:type="dxa" w:w="3515"/>
          </w:tcPr>
          <w:p>
            <w:pPr>
              <w:spacing w:after="40" w:before="40" w:line="283" w:lineRule="auto"/>
            </w:pPr>
            <w:r/>
            <w:r>
              <w:rPr>
                <w:rFonts w:ascii="微软雅黑" w:hAnsi="微软雅黑" w:eastAsia="微软雅黑"/>
                <w:b w:val="0"/>
                <w:sz w:val="18"/>
              </w:rPr>
              <w:t>展现层与外部系统一律经服务层，不得直连数据库</w:t>
            </w:r>
          </w:p>
        </w:tc>
        <w:tc>
          <w:tcPr>
            <w:tcW w:type="dxa" w:w="5443"/>
          </w:tcPr>
          <w:p>
            <w:pPr>
              <w:spacing w:after="40" w:before="40" w:line="283" w:lineRule="auto"/>
            </w:pPr>
            <w:r/>
            <w:r>
              <w:rPr>
                <w:rFonts w:ascii="微软雅黑" w:hAnsi="微软雅黑" w:eastAsia="微软雅黑"/>
                <w:b w:val="0"/>
                <w:sz w:val="18"/>
              </w:rPr>
              <w:t>行级权限与审计留痕全部失效，性能问题无法界定责任（DD-17）</w:t>
            </w:r>
          </w:p>
        </w:tc>
      </w:tr>
      <w:tr>
        <w:tc>
          <w:tcPr>
            <w:tcW w:type="dxa" w:w="3515"/>
          </w:tcPr>
          <w:p>
            <w:pPr>
              <w:spacing w:after="40" w:before="40" w:line="283" w:lineRule="auto"/>
            </w:pPr>
            <w:r/>
            <w:r>
              <w:rPr>
                <w:rFonts w:ascii="微软雅黑" w:hAnsi="微软雅黑" w:eastAsia="微软雅黑"/>
                <w:b w:val="0"/>
                <w:sz w:val="18"/>
              </w:rPr>
              <w:t>未映射的代码值不得归入"其他"</w:t>
            </w:r>
          </w:p>
        </w:tc>
        <w:tc>
          <w:tcPr>
            <w:tcW w:type="dxa" w:w="5443"/>
          </w:tcPr>
          <w:p>
            <w:pPr>
              <w:spacing w:after="40" w:before="40" w:line="283" w:lineRule="auto"/>
            </w:pPr>
            <w:r/>
            <w:r>
              <w:rPr>
                <w:rFonts w:ascii="微软雅黑" w:hAnsi="微软雅黑" w:eastAsia="微软雅黑"/>
                <w:b w:val="0"/>
                <w:sz w:val="18"/>
              </w:rPr>
              <w:t>报表会安静地错掉，这是最难发现的一类缺陷（DD-06）</w:t>
            </w:r>
          </w:p>
        </w:tc>
      </w:tr>
      <w:tr>
        <w:tc>
          <w:tcPr>
            <w:tcW w:type="dxa" w:w="3515"/>
          </w:tcPr>
          <w:p>
            <w:pPr>
              <w:spacing w:after="40" w:before="40" w:line="283" w:lineRule="auto"/>
            </w:pPr>
            <w:r/>
            <w:r>
              <w:rPr>
                <w:rFonts w:ascii="微软雅黑" w:hAnsi="微软雅黑" w:eastAsia="微软雅黑"/>
                <w:b w:val="0"/>
                <w:sz w:val="18"/>
              </w:rPr>
              <w:t>实时状态不落库</w:t>
            </w:r>
          </w:p>
        </w:tc>
        <w:tc>
          <w:tcPr>
            <w:tcW w:type="dxa" w:w="5443"/>
          </w:tcPr>
          <w:p>
            <w:pPr>
              <w:spacing w:after="40" w:before="40" w:line="283" w:lineRule="auto"/>
            </w:pPr>
            <w:r/>
            <w:r>
              <w:rPr>
                <w:rFonts w:ascii="微软雅黑" w:hAnsi="微软雅黑" w:eastAsia="微软雅黑"/>
                <w:b w:val="0"/>
                <w:sz w:val="18"/>
              </w:rPr>
              <w:t>会制造同一事实的第二个更快但更不可靠的版本，所有"哪个数字对"的争论都会从这里开始（DD-08）</w:t>
            </w:r>
          </w:p>
        </w:tc>
      </w:tr>
      <w:tr>
        <w:tc>
          <w:tcPr>
            <w:tcW w:type="dxa" w:w="3515"/>
          </w:tcPr>
          <w:p>
            <w:pPr>
              <w:spacing w:after="40" w:before="40" w:line="283" w:lineRule="auto"/>
            </w:pPr>
            <w:r/>
            <w:r>
              <w:rPr>
                <w:rFonts w:ascii="微软雅黑" w:hAnsi="微软雅黑" w:eastAsia="微软雅黑"/>
                <w:b w:val="0"/>
                <w:sz w:val="18"/>
              </w:rPr>
              <w:t>封账后的历史快照不得修改，修正进修正表</w:t>
            </w:r>
          </w:p>
        </w:tc>
        <w:tc>
          <w:tcPr>
            <w:tcW w:type="dxa" w:w="5443"/>
          </w:tcPr>
          <w:p>
            <w:pPr>
              <w:spacing w:after="40" w:before="40" w:line="283" w:lineRule="auto"/>
            </w:pPr>
            <w:r/>
            <w:r>
              <w:rPr>
                <w:rFonts w:ascii="微软雅黑" w:hAnsi="微软雅黑" w:eastAsia="微软雅黑"/>
                <w:b w:val="0"/>
                <w:sz w:val="18"/>
              </w:rPr>
              <w:t>去年打印的报表今年重跑数值会变，报表失去公信力（DD-08 · DD-12）</w:t>
            </w:r>
          </w:p>
        </w:tc>
      </w:tr>
    </w:tbl>
    <w:p>
      <w:pPr>
        <w:spacing w:before="0" w:after="140"/>
      </w:pPr>
    </w:p>
    <w:p>
      <w:pPr>
        <w:pStyle w:val="Heading1"/>
      </w:pPr>
      <w:r>
        <w:t>5  完整文件索引</w:t>
      </w:r>
    </w:p>
    <w:p>
      <w:pPr>
        <w:pStyle w:val="Heading2"/>
      </w:pPr>
      <w:r>
        <w:t>5.1  交接包（HLD 目录）</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969"/>
        <w:gridCol w:w="4989"/>
      </w:tblGrid>
      <w:tr>
        <w:trPr>
          <w:tblHeader/>
        </w:trPr>
        <w:tc>
          <w:tcPr>
            <w:tcW w:type="dxa" w:w="3969"/>
            <w:shd w:val="clear" w:fill="EEF2FD"/>
          </w:tcPr>
          <w:p>
            <w:pPr>
              <w:spacing w:after="40" w:before="40"/>
            </w:pPr>
            <w:r/>
            <w:r>
              <w:rPr>
                <w:rFonts w:ascii="微软雅黑" w:hAnsi="微软雅黑" w:eastAsia="微软雅黑"/>
                <w:b/>
                <w:color w:val="1E3A8A"/>
                <w:sz w:val="18"/>
              </w:rPr>
              <w:t>文件名</w:t>
            </w:r>
          </w:p>
        </w:tc>
        <w:tc>
          <w:tcPr>
            <w:tcW w:type="dxa" w:w="4989"/>
            <w:shd w:val="clear" w:fill="EEF2FD"/>
          </w:tcPr>
          <w:p>
            <w:pPr>
              <w:spacing w:after="40" w:before="40"/>
            </w:pPr>
            <w:r/>
            <w:r>
              <w:rPr>
                <w:rFonts w:ascii="微软雅黑" w:hAnsi="微软雅黑" w:eastAsia="微软雅黑"/>
                <w:b/>
                <w:color w:val="1E3A8A"/>
                <w:sz w:val="18"/>
              </w:rPr>
              <w:t>内容</w:t>
            </w:r>
          </w:p>
        </w:tc>
      </w:tr>
      <w:tr>
        <w:tc>
          <w:tcPr>
            <w:tcW w:type="dxa" w:w="3969"/>
          </w:tcPr>
          <w:p>
            <w:pPr>
              <w:spacing w:after="40" w:before="40" w:line="283" w:lineRule="auto"/>
            </w:pPr>
            <w:r/>
            <w:r>
              <w:rPr>
                <w:rFonts w:ascii="微软雅黑" w:hAnsi="微软雅黑" w:eastAsia="微软雅黑"/>
                <w:b w:val="0"/>
                <w:sz w:val="18"/>
              </w:rPr>
              <w:t>HD-00_开发交接说明与文件索引.docx</w:t>
            </w:r>
          </w:p>
        </w:tc>
        <w:tc>
          <w:tcPr>
            <w:tcW w:type="dxa" w:w="4989"/>
          </w:tcPr>
          <w:p>
            <w:pPr>
              <w:spacing w:after="40" w:before="40" w:line="283" w:lineRule="auto"/>
            </w:pPr>
            <w:r/>
            <w:r>
              <w:rPr>
                <w:rFonts w:ascii="微软雅黑" w:hAnsi="微软雅黑" w:eastAsia="微软雅黑"/>
                <w:b w:val="0"/>
                <w:sz w:val="18"/>
              </w:rPr>
              <w:t>本文件</w:t>
            </w:r>
          </w:p>
        </w:tc>
      </w:tr>
      <w:tr>
        <w:tc>
          <w:tcPr>
            <w:tcW w:type="dxa" w:w="3969"/>
          </w:tcPr>
          <w:p>
            <w:pPr>
              <w:spacing w:after="40" w:before="40" w:line="283" w:lineRule="auto"/>
            </w:pPr>
            <w:r/>
            <w:r>
              <w:rPr>
                <w:rFonts w:ascii="微软雅黑" w:hAnsi="微软雅黑" w:eastAsia="微软雅黑"/>
                <w:b w:val="0"/>
                <w:sz w:val="18"/>
              </w:rPr>
              <w:t>HD-01_需求规格说明书.docx</w:t>
            </w:r>
          </w:p>
        </w:tc>
        <w:tc>
          <w:tcPr>
            <w:tcW w:type="dxa" w:w="4989"/>
          </w:tcPr>
          <w:p>
            <w:pPr>
              <w:spacing w:after="40" w:before="40" w:line="283" w:lineRule="auto"/>
            </w:pPr>
            <w:r>
              <w:t>按领域编排的编号需求，含验收标准与优先级。条数以该册为准。</w:t>
            </w:r>
          </w:p>
        </w:tc>
      </w:tr>
      <w:tr>
        <w:tc>
          <w:tcPr>
            <w:tcW w:type="dxa" w:w="3969"/>
          </w:tcPr>
          <w:p>
            <w:pPr>
              <w:spacing w:after="40" w:before="40" w:line="283" w:lineRule="auto"/>
            </w:pPr>
            <w:r/>
            <w:r>
              <w:rPr>
                <w:rFonts w:ascii="微软雅黑" w:hAnsi="微软雅黑" w:eastAsia="微软雅黑"/>
                <w:b w:val="0"/>
                <w:sz w:val="18"/>
              </w:rPr>
              <w:t>HD-02_需求追溯矩阵.xlsx</w:t>
            </w:r>
          </w:p>
        </w:tc>
        <w:tc>
          <w:tcPr>
            <w:tcW w:type="dxa" w:w="4989"/>
          </w:tcPr>
          <w:p>
            <w:pPr>
              <w:spacing w:after="40" w:before="40" w:line="283" w:lineRule="auto"/>
            </w:pPr>
            <w:r>
              <w:t>追溯矩阵 · 需求清单 · 需人工复核的条款。三页的条数以该册为准。</w:t>
            </w:r>
          </w:p>
        </w:tc>
      </w:tr>
      <w:tr>
        <w:tc>
          <w:tcPr>
            <w:tcW w:type="dxa" w:w="3969"/>
          </w:tcPr>
          <w:p>
            <w:pPr>
              <w:spacing w:after="40" w:before="40" w:line="283" w:lineRule="auto"/>
            </w:pPr>
            <w:r/>
            <w:r>
              <w:rPr>
                <w:rFonts w:ascii="微软雅黑" w:hAnsi="微软雅黑" w:eastAsia="微软雅黑"/>
                <w:b w:val="0"/>
                <w:sz w:val="18"/>
              </w:rPr>
              <w:t>HD-03_假设与信息需求登记册.docx</w:t>
            </w:r>
          </w:p>
        </w:tc>
        <w:tc>
          <w:tcPr>
            <w:tcW w:type="dxa" w:w="4989"/>
          </w:tcPr>
          <w:p>
            <w:pPr>
              <w:spacing w:after="40" w:before="40" w:line="283" w:lineRule="auto"/>
            </w:pPr>
            <w:r>
              <w:t>假设 · 信息需求 · 实质差异 · 询问件分组。条数以该册为准。</w:t>
            </w:r>
          </w:p>
        </w:tc>
      </w:tr>
      <w:tr>
        <w:tc>
          <w:tcPr>
            <w:tcW w:type="dxa" w:w="3969"/>
          </w:tcPr>
          <w:p>
            <w:pPr>
              <w:spacing w:after="40" w:before="40" w:line="283" w:lineRule="auto"/>
            </w:pPr>
            <w:r/>
            <w:r>
              <w:rPr>
                <w:rFonts w:ascii="微软雅黑" w:hAnsi="微软雅黑" w:eastAsia="微软雅黑"/>
                <w:b w:val="0"/>
                <w:sz w:val="18"/>
              </w:rPr>
              <w:t>HD-04_约束与设计决策登记册.xlsx</w:t>
            </w:r>
          </w:p>
        </w:tc>
        <w:tc>
          <w:tcPr>
            <w:tcW w:type="dxa" w:w="4989"/>
          </w:tcPr>
          <w:p>
            <w:pPr>
              <w:spacing w:after="40" w:before="40" w:line="283" w:lineRule="auto"/>
            </w:pPr>
            <w:r>
              <w:t>约束 · 设计决策（含被拒方案与拒绝理由）。条数以该册为准。</w:t>
            </w:r>
          </w:p>
        </w:tc>
      </w:tr>
      <w:tr>
        <w:tc>
          <w:tcPr>
            <w:tcW w:type="dxa" w:w="3969"/>
          </w:tcPr>
          <w:p>
            <w:pPr>
              <w:spacing w:after="40" w:before="40" w:line="283" w:lineRule="auto"/>
            </w:pPr>
            <w:r/>
            <w:r>
              <w:rPr>
                <w:rFonts w:ascii="微软雅黑" w:hAnsi="微软雅黑" w:eastAsia="微软雅黑"/>
                <w:b w:val="0"/>
                <w:sz w:val="18"/>
              </w:rPr>
              <w:t>HD-05_报表仪表板与指标清单.xlsx</w:t>
            </w:r>
          </w:p>
        </w:tc>
        <w:tc>
          <w:tcPr>
            <w:tcW w:type="dxa" w:w="4989"/>
          </w:tcPr>
          <w:p>
            <w:pPr>
              <w:spacing w:after="40" w:before="40" w:line="283" w:lineRule="auto"/>
            </w:pPr>
            <w:r/>
            <w:r>
              <w:rPr>
                <w:rFonts w:ascii="微软雅黑" w:hAnsi="微软雅黑" w:eastAsia="微软雅黑"/>
                <w:b w:val="0"/>
                <w:sz w:val="18"/>
              </w:rPr>
              <w:t>报表 40 张 · 仪表板 20 个 · 指标 52 个</w:t>
            </w:r>
          </w:p>
        </w:tc>
      </w:tr>
      <w:tr>
        <w:tc>
          <w:tcPr>
            <w:tcW w:type="dxa" w:w="3969"/>
          </w:tcPr>
          <w:p>
            <w:pPr>
              <w:spacing w:after="40" w:before="40" w:line="283" w:lineRule="auto"/>
            </w:pPr>
            <w:r/>
            <w:r>
              <w:rPr>
                <w:rFonts w:ascii="微软雅黑" w:hAnsi="微软雅黑" w:eastAsia="微软雅黑"/>
                <w:b w:val="0"/>
                <w:sz w:val="18"/>
              </w:rPr>
              <w:t>OSS911_BI数据仓库_概要设计说明书_HLD_v0.2.docx</w:t>
            </w:r>
          </w:p>
        </w:tc>
        <w:tc>
          <w:tcPr>
            <w:tcW w:type="dxa" w:w="4989"/>
          </w:tcPr>
          <w:p>
            <w:pPr>
              <w:spacing w:after="40" w:before="40" w:line="283" w:lineRule="auto"/>
            </w:pPr>
            <w:r/>
            <w:r>
              <w:rPr>
                <w:rFonts w:ascii="微软雅黑" w:hAnsi="微软雅黑" w:eastAsia="微软雅黑"/>
                <w:b w:val="0"/>
                <w:sz w:val="18"/>
              </w:rPr>
              <w:t>概要设计，14 章 38 页。v0.1 已作废</w:t>
            </w:r>
          </w:p>
        </w:tc>
      </w:tr>
      <w:tr>
        <w:tc>
          <w:tcPr>
            <w:tcW w:type="dxa" w:w="3969"/>
          </w:tcPr>
          <w:p>
            <w:pPr>
              <w:spacing w:after="40" w:before="40" w:line="283" w:lineRule="auto"/>
            </w:pPr>
            <w:r>
              <w:t>HLD-Fig3-1 至 Fig12-1（9 个 PNG，源脚本见 figures-src/）</w:t>
            </w:r>
          </w:p>
        </w:tc>
        <w:tc>
          <w:tcPr>
            <w:tcW w:type="dxa" w:w="4989"/>
          </w:tcPr>
          <w:p>
            <w:pPr>
              <w:spacing w:after="40" w:before="40" w:line="283" w:lineRule="auto"/>
            </w:pPr>
            <w:r/>
            <w:r>
              <w:rPr>
                <w:rFonts w:ascii="微软雅黑" w:hAnsi="微软雅黑" w:eastAsia="微软雅黑"/>
                <w:b w:val="0"/>
                <w:sz w:val="18"/>
              </w:rPr>
              <w:t>英文插图，可单独用于对外提交物</w:t>
            </w:r>
          </w:p>
        </w:tc>
      </w:tr>
    </w:tbl>
    <w:p>
      <w:pPr>
        <w:spacing w:before="0" w:after="140"/>
      </w:pPr>
    </w:p>
    <w:p>
      <w:pPr>
        <w:pStyle w:val="Heading2"/>
      </w:pPr>
      <w:r>
        <w:t>5.2  投标阶段既有材料（上一级目录）</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3969"/>
        <w:gridCol w:w="4989"/>
      </w:tblGrid>
      <w:tr>
        <w:trPr>
          <w:tblHeader/>
        </w:trPr>
        <w:tc>
          <w:tcPr>
            <w:tcW w:type="dxa" w:w="3969"/>
            <w:shd w:val="clear" w:fill="EEF2FD"/>
          </w:tcPr>
          <w:p>
            <w:pPr>
              <w:spacing w:after="40" w:before="40"/>
            </w:pPr>
            <w:r/>
            <w:r>
              <w:rPr>
                <w:rFonts w:ascii="微软雅黑" w:hAnsi="微软雅黑" w:eastAsia="微软雅黑"/>
                <w:b/>
                <w:color w:val="1E3A8A"/>
                <w:sz w:val="18"/>
              </w:rPr>
              <w:t>文件名</w:t>
            </w:r>
          </w:p>
        </w:tc>
        <w:tc>
          <w:tcPr>
            <w:tcW w:type="dxa" w:w="4989"/>
            <w:shd w:val="clear" w:fill="EEF2FD"/>
          </w:tcPr>
          <w:p>
            <w:pPr>
              <w:spacing w:after="40" w:before="40"/>
            </w:pPr>
            <w:r/>
            <w:r>
              <w:rPr>
                <w:rFonts w:ascii="微软雅黑" w:hAnsi="微软雅黑" w:eastAsia="微软雅黑"/>
                <w:b/>
                <w:color w:val="1E3A8A"/>
                <w:sz w:val="18"/>
              </w:rPr>
              <w:t>内容与用途</w:t>
            </w:r>
          </w:p>
        </w:tc>
      </w:tr>
      <w:tr>
        <w:tc>
          <w:tcPr>
            <w:tcW w:type="dxa" w:w="3969"/>
          </w:tcPr>
          <w:p>
            <w:pPr>
              <w:spacing w:after="40" w:before="40" w:line="283" w:lineRule="auto"/>
            </w:pPr>
            <w:r/>
            <w:r>
              <w:rPr>
                <w:rFonts w:ascii="微软雅黑" w:hAnsi="微软雅黑" w:eastAsia="微软雅黑"/>
                <w:b w:val="0"/>
                <w:sz w:val="18"/>
              </w:rPr>
              <w:t>Customer Requirements.pdf</w:t>
            </w:r>
          </w:p>
        </w:tc>
        <w:tc>
          <w:tcPr>
            <w:tcW w:type="dxa" w:w="4989"/>
          </w:tcPr>
          <w:p>
            <w:pPr>
              <w:spacing w:after="40" w:before="40" w:line="283" w:lineRule="auto"/>
            </w:pPr>
            <w:r/>
            <w:r>
              <w:rPr>
                <w:rFonts w:ascii="微软雅黑" w:hAnsi="微软雅黑" w:eastAsia="微软雅黑"/>
                <w:b w:val="0"/>
                <w:sz w:val="18"/>
              </w:rPr>
              <w:t>RFP 原文，156 页。权威来源，出现分歧以此为准。</w:t>
            </w:r>
          </w:p>
        </w:tc>
      </w:tr>
      <w:tr>
        <w:tc>
          <w:tcPr>
            <w:tcW w:type="dxa" w:w="3969"/>
          </w:tcPr>
          <w:p>
            <w:pPr>
              <w:spacing w:after="40" w:before="40" w:line="283" w:lineRule="auto"/>
            </w:pPr>
            <w:r/>
            <w:r>
              <w:rPr>
                <w:rFonts w:ascii="微软雅黑" w:hAnsi="微软雅黑" w:eastAsia="微软雅黑"/>
                <w:b w:val="0"/>
                <w:sz w:val="18"/>
              </w:rPr>
              <w:t>BI_Scope_Clauses.xlsx</w:t>
            </w:r>
          </w:p>
        </w:tc>
        <w:tc>
          <w:tcPr>
            <w:tcW w:type="dxa" w:w="4989"/>
          </w:tcPr>
          <w:p>
            <w:pPr>
              <w:spacing w:after="40" w:before="40" w:line="283" w:lineRule="auto"/>
            </w:pPr>
            <w:r/>
            <w:r>
              <w:rPr>
                <w:rFonts w:ascii="微软雅黑" w:hAnsi="微软雅黑" w:eastAsia="微软雅黑"/>
                <w:b w:val="0"/>
                <w:sz w:val="18"/>
              </w:rPr>
              <w:t>BI 相关 189 条条款的提取与责任划分，HD-02 的数据来源。</w:t>
            </w:r>
          </w:p>
        </w:tc>
      </w:tr>
      <w:tr>
        <w:tc>
          <w:tcPr>
            <w:tcW w:type="dxa" w:w="3969"/>
          </w:tcPr>
          <w:p>
            <w:pPr>
              <w:spacing w:after="40" w:before="40" w:line="283" w:lineRule="auto"/>
            </w:pPr>
            <w:r/>
            <w:r>
              <w:rPr>
                <w:rFonts w:ascii="微软雅黑" w:hAnsi="微软雅黑" w:eastAsia="微软雅黑"/>
                <w:b w:val="0"/>
                <w:sz w:val="18"/>
              </w:rPr>
              <w:t>Compliance Matrix Orginal.xlsx</w:t>
            </w:r>
          </w:p>
        </w:tc>
        <w:tc>
          <w:tcPr>
            <w:tcW w:type="dxa" w:w="4989"/>
          </w:tcPr>
          <w:p>
            <w:pPr>
              <w:spacing w:after="40" w:before="40" w:line="283" w:lineRule="auto"/>
            </w:pPr>
            <w:r/>
            <w:r>
              <w:rPr>
                <w:rFonts w:ascii="微软雅黑" w:hAnsi="微软雅黑" w:eastAsia="微软雅黑"/>
                <w:b w:val="0"/>
                <w:sz w:val="18"/>
              </w:rPr>
              <w:t>原始应答表（2257 行）。</w:t>
            </w:r>
          </w:p>
        </w:tc>
      </w:tr>
      <w:tr>
        <w:tc>
          <w:tcPr>
            <w:tcW w:type="dxa" w:w="3969"/>
          </w:tcPr>
          <w:p>
            <w:pPr>
              <w:spacing w:after="40" w:before="40" w:line="283" w:lineRule="auto"/>
            </w:pPr>
            <w:r/>
            <w:r>
              <w:rPr>
                <w:rFonts w:ascii="微软雅黑" w:hAnsi="微软雅黑" w:eastAsia="微软雅黑"/>
                <w:b w:val="0"/>
                <w:sz w:val="18"/>
              </w:rPr>
              <w:t>Compliance Matrix - Nexora-BI Response (1.6.2).xlsx</w:t>
            </w:r>
          </w:p>
        </w:tc>
        <w:tc>
          <w:tcPr>
            <w:tcW w:type="dxa" w:w="4989"/>
          </w:tcPr>
          <w:p>
            <w:pPr>
              <w:spacing w:after="40" w:before="40" w:line="283" w:lineRule="auto"/>
            </w:pPr>
            <w:r/>
            <w:r>
              <w:rPr>
                <w:rFonts w:ascii="微软雅黑" w:hAnsi="微软雅黑" w:eastAsia="微软雅黑"/>
                <w:b w:val="0"/>
                <w:sz w:val="18"/>
              </w:rPr>
              <w:t>已填写的 1.6.2 应答（52 条，价格空白）。注意其中报表数量相关条目需按本交接包更正。</w:t>
            </w:r>
          </w:p>
        </w:tc>
      </w:tr>
      <w:tr>
        <w:tc>
          <w:tcPr>
            <w:tcW w:type="dxa" w:w="3969"/>
          </w:tcPr>
          <w:p>
            <w:pPr>
              <w:spacing w:after="40" w:before="40" w:line="283" w:lineRule="auto"/>
            </w:pPr>
            <w:r/>
            <w:r>
              <w:rPr>
                <w:rFonts w:ascii="微软雅黑" w:hAnsi="微软雅黑" w:eastAsia="微软雅黑"/>
                <w:b w:val="0"/>
                <w:sz w:val="18"/>
              </w:rPr>
              <w:t>投标澄清问题函_中文版.docx</w:t>
            </w:r>
          </w:p>
        </w:tc>
        <w:tc>
          <w:tcPr>
            <w:tcW w:type="dxa" w:w="4989"/>
          </w:tcPr>
          <w:p>
            <w:pPr>
              <w:spacing w:after="40" w:before="40" w:line="283" w:lineRule="auto"/>
            </w:pPr>
            <w:r/>
            <w:r>
              <w:rPr>
                <w:rFonts w:ascii="微软雅黑" w:hAnsi="微软雅黑" w:eastAsia="微软雅黑"/>
                <w:b w:val="0"/>
                <w:sz w:val="18"/>
              </w:rPr>
              <w:t>24 个澄清问题及客户答复。HD-03 第 5 章的依据来源。</w:t>
            </w:r>
          </w:p>
        </w:tc>
      </w:tr>
      <w:tr>
        <w:tc>
          <w:tcPr>
            <w:tcW w:type="dxa" w:w="3969"/>
          </w:tcPr>
          <w:p>
            <w:pPr>
              <w:spacing w:after="40" w:before="40" w:line="283" w:lineRule="auto"/>
            </w:pPr>
            <w:r/>
            <w:r>
              <w:rPr>
                <w:rFonts w:ascii="微软雅黑" w:hAnsi="微软雅黑" w:eastAsia="微软雅黑"/>
                <w:b w:val="0"/>
                <w:sz w:val="18"/>
              </w:rPr>
              <w:t>Nexora-BI_VM_Resource_Requirement.xlsx</w:t>
            </w:r>
          </w:p>
        </w:tc>
        <w:tc>
          <w:tcPr>
            <w:tcW w:type="dxa" w:w="4989"/>
          </w:tcPr>
          <w:p>
            <w:pPr>
              <w:spacing w:after="40" w:before="40" w:line="283" w:lineRule="auto"/>
            </w:pPr>
            <w:r/>
            <w:r>
              <w:rPr>
                <w:rFonts w:ascii="微软雅黑" w:hAnsi="微软雅黑" w:eastAsia="微软雅黑"/>
                <w:b w:val="0"/>
                <w:sz w:val="18"/>
              </w:rPr>
              <w:t>给总包商的虚机资源需求，含 17 条放置与隔离要求。与 HLD 第 12 章同源。</w:t>
            </w:r>
          </w:p>
        </w:tc>
      </w:tr>
      <w:tr>
        <w:tc>
          <w:tcPr>
            <w:tcW w:type="dxa" w:w="3969"/>
          </w:tcPr>
          <w:p>
            <w:pPr>
              <w:spacing w:after="40" w:before="40" w:line="283" w:lineRule="auto"/>
            </w:pPr>
            <w:r/>
            <w:r>
              <w:rPr>
                <w:rFonts w:ascii="微软雅黑" w:hAnsi="微软雅黑" w:eastAsia="微软雅黑"/>
                <w:b w:val="0"/>
                <w:sz w:val="18"/>
              </w:rPr>
              <w:t>Nexora-BI_Technical_Proposal_0831_TrackedChanges.docx</w:t>
            </w:r>
          </w:p>
        </w:tc>
        <w:tc>
          <w:tcPr>
            <w:tcW w:type="dxa" w:w="4989"/>
          </w:tcPr>
          <w:p>
            <w:pPr>
              <w:spacing w:after="40" w:before="40" w:line="283" w:lineRule="auto"/>
            </w:pPr>
            <w:r/>
            <w:r>
              <w:rPr>
                <w:rFonts w:ascii="微软雅黑" w:hAnsi="微软雅黑" w:eastAsia="微软雅黑"/>
                <w:b w:val="0"/>
                <w:sz w:val="18"/>
              </w:rPr>
              <w:t>技术建议书（带修订）。</w:t>
            </w:r>
          </w:p>
        </w:tc>
      </w:tr>
      <w:tr>
        <w:tc>
          <w:tcPr>
            <w:tcW w:type="dxa" w:w="3969"/>
          </w:tcPr>
          <w:p>
            <w:pPr>
              <w:spacing w:after="40" w:before="40" w:line="283" w:lineRule="auto"/>
            </w:pPr>
            <w:r/>
            <w:r>
              <w:rPr>
                <w:rFonts w:ascii="微软雅黑" w:hAnsi="微软雅黑" w:eastAsia="微软雅黑"/>
                <w:b w:val="0"/>
                <w:sz w:val="18"/>
              </w:rPr>
              <w:t>BI数据仓库_总体设计说明书_v0.6.docx</w:t>
            </w:r>
          </w:p>
        </w:tc>
        <w:tc>
          <w:tcPr>
            <w:tcW w:type="dxa" w:w="4989"/>
          </w:tcPr>
          <w:p>
            <w:pPr>
              <w:spacing w:after="40" w:before="40" w:line="283" w:lineRule="auto"/>
            </w:pPr>
            <w:r/>
            <w:r>
              <w:rPr>
                <w:rFonts w:ascii="微软雅黑" w:hAnsi="微软雅黑" w:eastAsia="微软雅黑"/>
                <w:b w:val="0"/>
                <w:sz w:val="18"/>
              </w:rPr>
              <w:t>早期总体设计。已被 HLD v0.1 取代，仅作历史参考；其中报表数量等表述已作废。</w:t>
            </w:r>
          </w:p>
        </w:tc>
      </w:tr>
      <w:tr>
        <w:tc>
          <w:tcPr>
            <w:tcW w:type="dxa" w:w="3969"/>
          </w:tcPr>
          <w:p>
            <w:pPr>
              <w:spacing w:after="40" w:before="40" w:line="283" w:lineRule="auto"/>
            </w:pPr>
            <w:r/>
            <w:r>
              <w:rPr>
                <w:rFonts w:ascii="微软雅黑" w:hAnsi="微软雅黑" w:eastAsia="微软雅黑"/>
                <w:b w:val="0"/>
                <w:sz w:val="18"/>
              </w:rPr>
              <w:t>AIIS_BI_System_Commercial_Quotation.xlsx</w:t>
            </w:r>
          </w:p>
        </w:tc>
        <w:tc>
          <w:tcPr>
            <w:tcW w:type="dxa" w:w="4989"/>
          </w:tcPr>
          <w:p>
            <w:pPr>
              <w:spacing w:after="40" w:before="40" w:line="283" w:lineRule="auto"/>
            </w:pPr>
            <w:r/>
            <w:r>
              <w:rPr>
                <w:rFonts w:ascii="微软雅黑" w:hAnsi="微软雅黑" w:eastAsia="微软雅黑"/>
                <w:b w:val="0"/>
                <w:sz w:val="18"/>
              </w:rPr>
              <w:t>商务报价。注意其中报表与仪表板数量（50/50）与 RFP 的 40/20 不一致，需商务复核。</w:t>
            </w:r>
          </w:p>
        </w:tc>
      </w:tr>
    </w:tbl>
    <w:p>
      <w:pPr>
        <w:spacing w:before="0" w:after="140"/>
      </w:pPr>
    </w:p>
    <w:tbl>
      <w:tblPr>
        <w:tblW w:type="auto" w:w="0"/>
        <w:jc w:val="center"/>
        <w:tblLook w:firstColumn="1" w:firstRow="1" w:lastColumn="0" w:lastRow="0" w:noHBand="0" w:noVBand="1" w:val="04A0"/>
        <w:tblBorders>
          <w:top w:val="single" w:sz="4" w:space="0" w:color="B45309"/>
          <w:left w:val="single" w:sz="4" w:space="0" w:color="B45309"/>
          <w:bottom w:val="single" w:sz="4" w:space="0" w:color="B45309"/>
          <w:right w:val="single" w:sz="4" w:space="0" w:color="B45309"/>
          <w:insideH w:val="single" w:sz="4" w:space="0" w:color="B45309"/>
          <w:insideV w:val="single" w:sz="4" w:space="0" w:color="B45309"/>
        </w:tblBorders>
      </w:tblPr>
      <w:tblGrid>
        <w:gridCol w:w="9298"/>
      </w:tblGrid>
      <w:tr>
        <w:tc>
          <w:tcPr>
            <w:tcW w:type="dxa" w:w="9298"/>
            <w:shd w:val="clear" w:fill="FDF4E7"/>
          </w:tcPr>
          <w:p>
            <w:pPr>
              <w:spacing w:before="80" w:after="40"/>
            </w:pPr>
            <w:r/>
            <w:r>
              <w:rPr>
                <w:rFonts w:ascii="微软雅黑" w:hAnsi="微软雅黑" w:eastAsia="微软雅黑"/>
                <w:b/>
                <w:color w:val="B45309"/>
                <w:sz w:val="20"/>
              </w:rPr>
              <w:t>一处需要商务复核的不一致</w:t>
            </w:r>
          </w:p>
          <w:p>
            <w:pPr>
              <w:spacing w:after="100" w:line="312" w:lineRule="auto"/>
            </w:pPr>
            <w:r>
              <w:rPr>
                <w:rFonts w:ascii="微软雅黑" w:hAnsi="微软雅黑" w:eastAsia="微软雅黑"/>
                <w:b w:val="0"/>
                <w:sz w:val="19"/>
              </w:rPr>
              <w:t>既有报价单中的报表与仪表板数量与 RFP 1.6.2.25 的四十张与二十个不一致，且与本交接包的清单也不一致。报价与交付范围的口径需要在投标定稿前统一，否则中标后会在第一次范围确认时暴露。</w:t>
            </w:r>
          </w:p>
        </w:tc>
      </w:tr>
    </w:tbl>
    <w:p>
      <w:pPr>
        <w:spacing w:before="0" w:after="160"/>
      </w:pPr>
    </w:p>
    <w:p>
      <w:pPr>
        <w:pStyle w:val="Heading1"/>
      </w:pPr>
      <w:r>
        <w:t>6  文件的维护</w:t>
      </w:r>
    </w:p>
    <w:p>
      <w:pPr>
        <w:spacing w:before="0" w:after="80"/>
      </w:pPr>
      <w:r>
        <w:rPr>
          <w:rFonts w:ascii="微软雅黑" w:hAnsi="微软雅黑" w:eastAsia="微软雅黑"/>
          <w:b w:val="0"/>
          <w:sz w:val="21"/>
        </w:rPr>
        <w:t>本交接包是受控文件集，不是一次性交付物。</w:t>
      </w:r>
    </w:p>
    <w:p>
      <w:pPr>
        <w:pStyle w:val="ListBullet"/>
        <w:spacing w:after="40" w:line="307" w:lineRule="auto"/>
      </w:pPr>
      <w:r>
        <w:rPr>
          <w:rFonts w:ascii="微软雅黑" w:hAnsi="微软雅黑" w:eastAsia="微软雅黑"/>
          <w:b w:val="0"/>
          <w:sz w:val="21"/>
        </w:rPr>
        <w:t>假设状态变化（被证实或被推翻）时更新 HD-03，并评估对 HD-01 需求的影响。被推翻的假设不删除，改标注为"已推翻"并记录实际情况。</w:t>
      </w:r>
    </w:p>
    <w:p>
      <w:pPr>
        <w:pStyle w:val="ListBullet"/>
        <w:spacing w:after="40" w:line="307" w:lineRule="auto"/>
      </w:pPr>
      <w:r>
        <w:rPr>
          <w:rFonts w:ascii="微软雅黑" w:hAnsi="微软雅黑" w:eastAsia="微软雅黑"/>
          <w:b w:val="0"/>
          <w:sz w:val="21"/>
        </w:rPr>
        <w:t>需求变更时同步更新 HD-01 与 HD-02，变更记录中引用相关的 AS 或 IR 编号。</w:t>
      </w:r>
    </w:p>
    <w:p>
      <w:pPr>
        <w:pStyle w:val="ListBullet"/>
        <w:spacing w:after="40" w:line="307" w:lineRule="auto"/>
      </w:pPr>
      <w:r>
        <w:rPr>
          <w:rFonts w:ascii="微软雅黑" w:hAnsi="微软雅黑" w:eastAsia="微软雅黑"/>
          <w:b w:val="0"/>
          <w:sz w:val="21"/>
        </w:rPr>
        <w:t>架构决策变更时在 HD-04 中新增一条，不修改原决策记录——保留决策的时间序列比保持文档整洁更重要。</w:t>
      </w:r>
    </w:p>
    <w:p>
      <w:pPr>
        <w:pStyle w:val="ListBullet"/>
        <w:spacing w:after="40" w:line="307" w:lineRule="auto"/>
      </w:pPr>
      <w:r>
        <w:rPr>
          <w:rFonts w:ascii="微软雅黑" w:hAnsi="微软雅黑" w:eastAsia="微软雅黑"/>
          <w:b w:val="0"/>
          <w:sz w:val="21"/>
        </w:rPr>
        <w:t>工作坊产出的报表与指标清单，经签署后纳入 HD-05 基线，新增项从 R-41、D-21 起编号。</w:t>
      </w:r>
    </w:p>
    <w:p>
      <w:pPr>
        <w:pStyle w:val="ListBullet"/>
        <w:spacing w:after="40" w:line="307" w:lineRule="auto"/>
      </w:pPr>
      <w:r>
        <w:rPr>
          <w:rFonts w:ascii="微软雅黑" w:hAnsi="微软雅黑" w:eastAsia="微软雅黑"/>
          <w:b w:val="0"/>
          <w:sz w:val="21"/>
        </w:rPr>
        <w:t>HLD v0.2 已落实本次复核的更正（报表与仪表板数量、对外数据服务、受控 SQL），并补入客户反馈数据源、热点与聚集区分析、两项前置门与迁移方案硬期限、库副本交付物。</w:t>
      </w:r>
    </w:p>
    <w:p>
      <w:pPr>
        <w:spacing w:before="0" w:after="280"/>
      </w:pPr>
    </w:p>
    <w:p>
      <w:pPr>
        <w:spacing w:before="0" w:after="80"/>
        <w:jc w:val="center"/>
      </w:pPr>
      <w:r>
        <w:rPr>
          <w:rFonts w:ascii="微软雅黑" w:hAnsi="微软雅黑" w:eastAsia="微软雅黑"/>
          <w:b w:val="0"/>
          <w:color w:val="4B5563"/>
          <w:sz w:val="20"/>
        </w:rPr>
        <w:t>— 本文件结束 —</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微软雅黑" w:hAnsi="微软雅黑" w:eastAsia="微软雅黑"/>
        <w:b w:val="0"/>
        <w:sz w:val="21"/>
      </w:rPr>
      <w:t xml:space="preserve">  </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微软雅黑" w:hAnsi="微软雅黑" w:eastAsia="微软雅黑"/>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微软雅黑" w:hAnsi="微软雅黑" w:eastAsia="微软雅黑"/>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微软雅黑" w:hAnsi="微软雅黑" w:eastAsia="微软雅黑"/>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