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变更随制品发布，且必须可前滚可回退。破坏性变更（删列、改类型）单独评审并安排在维护窗口。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