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rial" w:cs="Arial" w:eastAsia="Arial" w:hAnsi="Arial"/>
          <w:b/>
          <w:bCs/>
          <w:color w:val="3D4E41"/>
          <w:sz w:val="48"/>
          <w:szCs w:val="48"/>
        </w:rPr>
        <w:t xml:space="preserve">Backend Platform Decision</w:t>
      </w:r>
    </w:p>
    <w:p>
      <w:pPr>
        <w:spacing w:after="120"/>
        <w:jc w:val="center"/>
      </w:pPr>
      <w:r>
        <w:rPr>
          <w:i/>
          <w:iCs/>
          <w:color w:val="546857"/>
          <w:sz w:val="22"/>
          <w:szCs w:val="22"/>
        </w:rPr>
        <w:t xml:space="preserve">Basil · WeekendWare · April 2026</w:t>
      </w:r>
    </w:p>
    <w:p>
      <w:pPr>
        <w:spacing w:after="1800"/>
        <w:jc w:val="center"/>
      </w:pPr>
      <w:r>
        <w:rPr>
          <w:color w:val="7C776E"/>
          <w:sz w:val="20"/>
          <w:szCs w:val="20"/>
        </w:rPr>
        <w:t xml:space="preserve">Companion to the scoring model (.xlsx)</w:t>
      </w:r>
    </w:p>
    <w:p>
      <w:r>
        <w:br w:type="page"/>
      </w:r>
    </w:p>
    <w:p>
      <w:pPr>
        <w:pStyle w:val="Heading1"/>
      </w:pPr>
      <w:r>
        <w:t xml:space="preserve">Decision (TL;DR)</w:t>
      </w:r>
    </w:p>
    <w:p>
      <w:pPr>
        <w:spacing w:after="120"/>
      </w:pPr>
      <w:r>
        <w:t xml:space="preserve">Start on Supabase Team plan with the HIPAA add-on. It gives us Postgres, Auth, Realtime, Storage, and a BAA from a single vendor at a predictable floor cost (~$599/mo), which is the right shape for a one-person ops surface through MVP and closed beta. Design the app's API surface to be platform-agnostic so that if the company grows into enterprise / payor deals where AWS is table stakes, a migration to Aurora + Cognito + AppSync costs weeks, not months.</w:t>
      </w:r>
    </w:p>
    <w:p>
      <w:pPr>
        <w:pStyle w:val="Heading1"/>
      </w:pPr>
      <w:r>
        <w:t xml:space="preserve">Why this decision is HIPAA-shaped</w:t>
      </w:r>
    </w:p>
    <w:p>
      <w:pPr>
        <w:spacing w:after="120"/>
      </w:pPr>
      <w:r>
        <w:t xml:space="preserve">We've committed to planning for HIPAA from day one. That commitment isn't just a checkbox; it rewrites the shortlist in three ways:</w:t>
      </w:r>
    </w:p>
    <w:p>
      <w:pPr>
        <w:pStyle w:val="ListParagraph"/>
        <w:numPr>
          <w:ilvl w:val="0"/>
          <w:numId w:val="2"/>
        </w:numPr>
      </w:pPr>
      <w:r>
        <w:t xml:space="preserve">Several otherwise excellent platforms (Convex, Railway, DigitalOcean, Neon, PlanetScale) do not currently offer a BAA and are eliminated. Some may offer one later; we will not bet the product on that.</w:t>
      </w:r>
    </w:p>
    <w:p>
      <w:pPr>
        <w:pStyle w:val="ListParagraph"/>
        <w:numPr>
          <w:ilvl w:val="0"/>
          <w:numId w:val="2"/>
        </w:numPr>
      </w:pPr>
      <w:r>
        <w:t xml:space="preserve">Firebase, which would be the obvious default for a small team, is risky because HIPAA eligibility is per-service. Putting PHI into a non-eligible Firebase service (e.g. Realtime Database, Analytics, Crashlytics) is a compliance failure that's easy to make by accident.</w:t>
      </w:r>
    </w:p>
    <w:p>
      <w:pPr>
        <w:pStyle w:val="ListParagraph"/>
        <w:numPr>
          <w:ilvl w:val="0"/>
          <w:numId w:val="2"/>
        </w:numPr>
      </w:pPr>
      <w:r>
        <w:t xml:space="preserve">The price floor rises. HIPAA-eligible tiers start around $300–600/mo across all serious options. We can't price our way below that; we can only pick the one with the best per-dollar value.</w:t>
      </w:r>
    </w:p>
    <w:p>
      <w:pPr>
        <w:pStyle w:val="Heading2"/>
      </w:pPr>
      <w:r>
        <w:t xml:space="preserve">What "PHI" actually includes for Basil</w:t>
      </w:r>
    </w:p>
    <w:p>
      <w:pPr>
        <w:spacing w:after="120"/>
      </w:pPr>
      <w:r>
        <w:t xml:space="preserve">The moment any of the following leaves the device and lands on our server, we're handling PHI:</w:t>
      </w:r>
    </w:p>
    <w:p>
      <w:pPr>
        <w:pStyle w:val="ListParagraph"/>
        <w:numPr>
          <w:ilvl w:val="0"/>
          <w:numId w:val="2"/>
        </w:numPr>
      </w:pPr>
      <w:r>
        <w:t xml:space="preserve">Blood glucose readings, insulin doses, carb logs tied to an identifiable user.</w:t>
      </w:r>
    </w:p>
    <w:p>
      <w:pPr>
        <w:pStyle w:val="ListParagraph"/>
        <w:numPr>
          <w:ilvl w:val="0"/>
          <w:numId w:val="2"/>
        </w:numPr>
      </w:pPr>
      <w:r>
        <w:t xml:space="preserve">CGM data streams ingested on behalf of the user.</w:t>
      </w:r>
    </w:p>
    <w:p>
      <w:pPr>
        <w:pStyle w:val="ListParagraph"/>
        <w:numPr>
          <w:ilvl w:val="0"/>
          <w:numId w:val="2"/>
        </w:numPr>
      </w:pPr>
      <w:r>
        <w:t xml:space="preserve">Chat messages between the user and the Basil LLM assistant.</w:t>
      </w:r>
    </w:p>
    <w:p>
      <w:pPr>
        <w:pStyle w:val="ListParagraph"/>
        <w:numPr>
          <w:ilvl w:val="0"/>
          <w:numId w:val="2"/>
        </w:numPr>
      </w:pPr>
      <w:r>
        <w:t xml:space="preserve">Meal photos if uploaded.</w:t>
      </w:r>
    </w:p>
    <w:p>
      <w:pPr>
        <w:spacing w:after="120"/>
      </w:pPr>
      <w:r>
        <w:t xml:space="preserve">Anything that is de-identified per HHS Safe Harbor (no names, device IDs, timestamps at date-only resolution, etc.) is not PHI — but that's a high bar and rarely useful for a product where the whole point is individualized feedback.</w:t>
      </w:r>
    </w:p>
    <w:p>
      <w:pPr>
        <w:pStyle w:val="Heading1"/>
      </w:pPr>
      <w:r>
        <w:t xml:space="preserve">The finalists</w:t>
      </w:r>
    </w:p>
    <w:p>
      <w:pPr>
        <w:spacing w:after="120"/>
      </w:pPr>
      <w:r>
        <w:t xml:space="preserve">From the scorecard, three options are realistically on the table:</w:t>
      </w:r>
    </w:p>
    <w:p>
      <w:pPr>
        <w:pStyle w:val="Heading2"/>
      </w:pPr>
      <w:r>
        <w:t xml:space="preserve">Option A — Supabase Team + HIPAA add-on (recommended)</w:t>
      </w:r>
    </w:p>
    <w:p>
      <w:pPr>
        <w:pStyle w:val="Heading3"/>
      </w:pPr>
      <w:r>
        <w:t xml:space="preserve">What you get</w:t>
      </w:r>
    </w:p>
    <w:p>
      <w:pPr>
        <w:pStyle w:val="ListParagraph"/>
        <w:numPr>
          <w:ilvl w:val="0"/>
          <w:numId w:val="2"/>
        </w:numPr>
      </w:pPr>
      <w:r>
        <w:t xml:space="preserve">Postgres (full SQL, extensions, row-level security). Our schema is already relational (SQLDelight); Postgres is a natural mirror.</w:t>
      </w:r>
    </w:p>
    <w:p>
      <w:pPr>
        <w:pStyle w:val="ListParagraph"/>
        <w:numPr>
          <w:ilvl w:val="0"/>
          <w:numId w:val="2"/>
        </w:numPr>
      </w:pPr>
      <w:r>
        <w:t xml:space="preserve">Supabase Auth (OAuth providers, magic links, MFA). Works fine from Kotlin Multiplatform via REST.</w:t>
      </w:r>
    </w:p>
    <w:p>
      <w:pPr>
        <w:pStyle w:val="ListParagraph"/>
        <w:numPr>
          <w:ilvl w:val="0"/>
          <w:numId w:val="2"/>
        </w:numPr>
      </w:pPr>
      <w:r>
        <w:t xml:space="preserve">Realtime subscriptions over websockets.</w:t>
      </w:r>
    </w:p>
    <w:p>
      <w:pPr>
        <w:pStyle w:val="ListParagraph"/>
        <w:numPr>
          <w:ilvl w:val="0"/>
          <w:numId w:val="2"/>
        </w:numPr>
      </w:pPr>
      <w:r>
        <w:t xml:space="preserve">Storage (S3-compatible) for meal photos.</w:t>
      </w:r>
    </w:p>
    <w:p>
      <w:pPr>
        <w:pStyle w:val="ListParagraph"/>
        <w:numPr>
          <w:ilvl w:val="0"/>
          <w:numId w:val="2"/>
        </w:numPr>
      </w:pPr>
      <w:r>
        <w:t xml:space="preserve">Edge Functions for server logic.</w:t>
      </w:r>
    </w:p>
    <w:p>
      <w:pPr>
        <w:pStyle w:val="ListParagraph"/>
        <w:numPr>
          <w:ilvl w:val="0"/>
          <w:numId w:val="2"/>
        </w:numPr>
      </w:pPr>
      <w:r>
        <w:t xml:space="preserve">Single BAA covering all the above once the HIPAA add-on is enabled.</w:t>
      </w:r>
    </w:p>
    <w:p>
      <w:pPr>
        <w:pStyle w:val="Heading3"/>
      </w:pPr>
      <w:r>
        <w:t xml:space="preserve">Why it wins for MVP → v1</w:t>
      </w:r>
    </w:p>
    <w:p>
      <w:pPr>
        <w:pStyle w:val="ListParagraph"/>
        <w:numPr>
          <w:ilvl w:val="0"/>
          <w:numId w:val="2"/>
        </w:numPr>
      </w:pPr>
      <w:r>
        <w:t xml:space="preserve">One vendor, one BAA, one dashboard. Massive operational simplification for a solo dev.</w:t>
      </w:r>
    </w:p>
    <w:p>
      <w:pPr>
        <w:pStyle w:val="ListParagraph"/>
        <w:numPr>
          <w:ilvl w:val="0"/>
          <w:numId w:val="2"/>
        </w:numPr>
      </w:pPr>
      <w:r>
        <w:t xml:space="preserve">Floor cost is predictable. Variable charges kick in only at larger scales.</w:t>
      </w:r>
    </w:p>
    <w:p>
      <w:pPr>
        <w:pStyle w:val="ListParagraph"/>
        <w:numPr>
          <w:ilvl w:val="0"/>
          <w:numId w:val="2"/>
        </w:numPr>
      </w:pPr>
      <w:r>
        <w:t xml:space="preserve">Fastest path from "nothing" to "HIPAA-compliant encrypted log sync."</w:t>
      </w:r>
    </w:p>
    <w:p>
      <w:pPr>
        <w:pStyle w:val="ListParagraph"/>
        <w:numPr>
          <w:ilvl w:val="0"/>
          <w:numId w:val="2"/>
        </w:numPr>
      </w:pPr>
      <w:r>
        <w:t xml:space="preserve">Open source core — if the company ever needs to leave, you can self-host the same primitives.</w:t>
      </w:r>
    </w:p>
    <w:p>
      <w:pPr>
        <w:pStyle w:val="Heading3"/>
      </w:pPr>
      <w:r>
        <w:t xml:space="preserve">Where it could bite</w:t>
      </w:r>
    </w:p>
    <w:p>
      <w:pPr>
        <w:pStyle w:val="ListParagraph"/>
        <w:numPr>
          <w:ilvl w:val="0"/>
          <w:numId w:val="2"/>
        </w:numPr>
      </w:pPr>
      <w:r>
        <w:t xml:space="preserve">Supabase's HIPAA offering is relatively new (GA 2024). Less battle-tested than AWS. We mitigate by keeping a tight audit of what actually holds PHI.</w:t>
      </w:r>
    </w:p>
    <w:p>
      <w:pPr>
        <w:pStyle w:val="ListParagraph"/>
        <w:numPr>
          <w:ilvl w:val="0"/>
          <w:numId w:val="2"/>
        </w:numPr>
      </w:pPr>
      <w:r>
        <w:t xml:space="preserve">If we end up selling to large self-insured employers, some will insist on AWS or Azure. Keep the API layer platform-agnostic so migration is a weeks-long project, not a rewrite.</w:t>
      </w:r>
    </w:p>
    <w:p>
      <w:pPr>
        <w:pStyle w:val="ListParagraph"/>
        <w:numPr>
          <w:ilvl w:val="0"/>
          <w:numId w:val="2"/>
        </w:numPr>
      </w:pPr>
      <w:r>
        <w:t xml:space="preserve">Vendor lock-in on Supabase-specific features (Edge Functions runtime, Realtime channel semantics). Use sparingly in MVP; prefer plain Postgres where possible.</w:t>
      </w:r>
    </w:p>
    <w:p>
      <w:pPr>
        <w:pStyle w:val="Heading2"/>
      </w:pPr>
      <w:r>
        <w:t xml:space="preserve">Option B — AWS (Aurora Serverless + Cognito + AppSync/API Gateway)</w:t>
      </w:r>
    </w:p>
    <w:p>
      <w:pPr>
        <w:pStyle w:val="Heading3"/>
      </w:pPr>
      <w:r>
        <w:t xml:space="preserve">What you get</w:t>
      </w:r>
    </w:p>
    <w:p>
      <w:pPr>
        <w:pStyle w:val="ListParagraph"/>
        <w:numPr>
          <w:ilvl w:val="0"/>
          <w:numId w:val="2"/>
        </w:numPr>
      </w:pPr>
      <w:r>
        <w:t xml:space="preserve">The most mature HIPAA-eligible stack in the industry. Every enterprise buyer knows this answer.</w:t>
      </w:r>
    </w:p>
    <w:p>
      <w:pPr>
        <w:pStyle w:val="ListParagraph"/>
        <w:numPr>
          <w:ilvl w:val="0"/>
          <w:numId w:val="2"/>
        </w:numPr>
      </w:pPr>
      <w:r>
        <w:t xml:space="preserve">Aurora Serverless v2 Postgres-compatible; scales to zero-ish; excellent backup/PITR.</w:t>
      </w:r>
    </w:p>
    <w:p>
      <w:pPr>
        <w:pStyle w:val="ListParagraph"/>
        <w:numPr>
          <w:ilvl w:val="0"/>
          <w:numId w:val="2"/>
        </w:numPr>
      </w:pPr>
      <w:r>
        <w:t xml:space="preserve">Cognito for auth; free up to 50k MAU.</w:t>
      </w:r>
    </w:p>
    <w:p>
      <w:pPr>
        <w:pStyle w:val="ListParagraph"/>
        <w:numPr>
          <w:ilvl w:val="0"/>
          <w:numId w:val="2"/>
        </w:numPr>
      </w:pPr>
      <w:r>
        <w:t xml:space="preserve">AppSync for GraphQL or API Gateway for REST.</w:t>
      </w:r>
    </w:p>
    <w:p>
      <w:pPr>
        <w:pStyle w:val="ListParagraph"/>
        <w:numPr>
          <w:ilvl w:val="0"/>
          <w:numId w:val="2"/>
        </w:numPr>
      </w:pPr>
      <w:r>
        <w:t xml:space="preserve">S3 + CloudFront for media.</w:t>
      </w:r>
    </w:p>
    <w:p>
      <w:pPr>
        <w:pStyle w:val="Heading3"/>
      </w:pPr>
      <w:r>
        <w:t xml:space="preserve">Why we're not starting here</w:t>
      </w:r>
    </w:p>
    <w:p>
      <w:pPr>
        <w:pStyle w:val="ListParagraph"/>
        <w:numPr>
          <w:ilvl w:val="0"/>
          <w:numId w:val="2"/>
        </w:numPr>
      </w:pPr>
      <w:r>
        <w:t xml:space="preserve">Ops burden for a solo developer is real. IAM roles, VPCs, KMS key rotation, CloudWatch alarms, Parameter Store — every piece adds up. AWS charges its tax in your attention, not just your bill.</w:t>
      </w:r>
    </w:p>
    <w:p>
      <w:pPr>
        <w:pStyle w:val="ListParagraph"/>
        <w:numPr>
          <w:ilvl w:val="0"/>
          <w:numId w:val="2"/>
        </w:numPr>
      </w:pPr>
      <w:r>
        <w:t xml:space="preserve">Required Business Support tier ($100+/mo) raises floor cost.</w:t>
      </w:r>
    </w:p>
    <w:p>
      <w:pPr>
        <w:pStyle w:val="ListParagraph"/>
        <w:numPr>
          <w:ilvl w:val="0"/>
          <w:numId w:val="2"/>
        </w:numPr>
      </w:pPr>
      <w:r>
        <w:t xml:space="preserve">Slower time-to-first-round-trip than Supabase by a large margin.</w:t>
      </w:r>
    </w:p>
    <w:p>
      <w:pPr>
        <w:pStyle w:val="Heading3"/>
      </w:pPr>
      <w:r>
        <w:t xml:space="preserve">When to migrate here</w:t>
      </w:r>
    </w:p>
    <w:p>
      <w:pPr>
        <w:pStyle w:val="ListParagraph"/>
        <w:numPr>
          <w:ilvl w:val="0"/>
          <w:numId w:val="2"/>
        </w:numPr>
      </w:pPr>
      <w:r>
        <w:t xml:space="preserve">We land a buyer that requires AWS (payors, health systems, large employers).</w:t>
      </w:r>
    </w:p>
    <w:p>
      <w:pPr>
        <w:pStyle w:val="ListParagraph"/>
        <w:numPr>
          <w:ilvl w:val="0"/>
          <w:numId w:val="2"/>
        </w:numPr>
      </w:pPr>
      <w:r>
        <w:t xml:space="preserve">We cross ~500k MAU and variable cost economics favor building on primitives.</w:t>
      </w:r>
    </w:p>
    <w:p>
      <w:pPr>
        <w:pStyle w:val="ListParagraph"/>
        <w:numPr>
          <w:ilvl w:val="0"/>
          <w:numId w:val="2"/>
        </w:numPr>
      </w:pPr>
      <w:r>
        <w:t xml:space="preserve">We hire a backend engineer whose first project can absorb the complexity.</w:t>
      </w:r>
    </w:p>
    <w:p>
      <w:pPr>
        <w:pStyle w:val="Heading2"/>
      </w:pPr>
      <w:r>
        <w:t xml:space="preserve">Option C — Aptible PaaS</w:t>
      </w:r>
    </w:p>
    <w:p>
      <w:pPr>
        <w:pStyle w:val="Heading3"/>
      </w:pPr>
      <w:r>
        <w:t xml:space="preserve">What you get</w:t>
      </w:r>
    </w:p>
    <w:p>
      <w:pPr>
        <w:pStyle w:val="ListParagraph"/>
        <w:numPr>
          <w:ilvl w:val="0"/>
          <w:numId w:val="2"/>
        </w:numPr>
      </w:pPr>
      <w:r>
        <w:t xml:space="preserve">HIPAA-native PaaS. Everything on the platform is eligible by default.</w:t>
      </w:r>
    </w:p>
    <w:p>
      <w:pPr>
        <w:pStyle w:val="ListParagraph"/>
        <w:numPr>
          <w:ilvl w:val="0"/>
          <w:numId w:val="2"/>
        </w:numPr>
      </w:pPr>
      <w:r>
        <w:t xml:space="preserve">Compliance artifacts generated for you (audit logs, encryption, intrusion detection).</w:t>
      </w:r>
    </w:p>
    <w:p>
      <w:pPr>
        <w:pStyle w:val="ListParagraph"/>
        <w:numPr>
          <w:ilvl w:val="0"/>
          <w:numId w:val="2"/>
        </w:numPr>
      </w:pPr>
      <w:r>
        <w:t xml:space="preserve">Support that understands HIPAA workflows.</w:t>
      </w:r>
    </w:p>
    <w:p>
      <w:pPr>
        <w:pStyle w:val="Heading3"/>
      </w:pPr>
      <w:r>
        <w:t xml:space="preserve">Why it's a fallback, not a primary</w:t>
      </w:r>
    </w:p>
    <w:p>
      <w:pPr>
        <w:pStyle w:val="ListParagraph"/>
        <w:numPr>
          <w:ilvl w:val="0"/>
          <w:numId w:val="2"/>
        </w:numPr>
      </w:pPr>
      <w:r>
        <w:t xml:space="preserve">Higher unit cost than Supabase at our scale.</w:t>
      </w:r>
    </w:p>
    <w:p>
      <w:pPr>
        <w:pStyle w:val="ListParagraph"/>
        <w:numPr>
          <w:ilvl w:val="0"/>
          <w:numId w:val="2"/>
        </w:numPr>
      </w:pPr>
      <w:r>
        <w:t xml:space="preserve">Less ergonomic for modern app patterns (Realtime, for instance).</w:t>
      </w:r>
    </w:p>
    <w:p>
      <w:pPr>
        <w:pStyle w:val="ListParagraph"/>
        <w:numPr>
          <w:ilvl w:val="0"/>
          <w:numId w:val="2"/>
        </w:numPr>
      </w:pPr>
      <w:r>
        <w:t xml:space="preserve">Smaller community, harder to hire for.</w:t>
      </w:r>
    </w:p>
    <w:p>
      <w:pPr>
        <w:pStyle w:val="Heading3"/>
      </w:pPr>
      <w:r>
        <w:t xml:space="preserve">Pick this if</w:t>
      </w:r>
    </w:p>
    <w:p>
      <w:pPr>
        <w:pStyle w:val="ListParagraph"/>
        <w:numPr>
          <w:ilvl w:val="0"/>
          <w:numId w:val="2"/>
        </w:numPr>
      </w:pPr>
      <w:r>
        <w:t xml:space="preserve">You hate ops and would happily trade money for compliance out-of-the-box.</w:t>
      </w:r>
    </w:p>
    <w:p>
      <w:pPr>
        <w:pStyle w:val="ListParagraph"/>
        <w:numPr>
          <w:ilvl w:val="0"/>
          <w:numId w:val="2"/>
        </w:numPr>
      </w:pPr>
      <w:r>
        <w:t xml:space="preserve">Supabase's HIPAA offering matures slower than expected.</w:t>
      </w:r>
    </w:p>
    <w:p>
      <w:pPr>
        <w:pStyle w:val="Heading1"/>
      </w:pPr>
      <w:r>
        <w:t xml:space="preserve">Non-starters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EB3" w:sz="1"/>
              <w:left w:val="single" w:color="B8BEB3" w:sz="1"/>
              <w:bottom w:val="single" w:color="B8BEB3" w:sz="1"/>
              <w:right w:val="single" w:color="B8BEB3" w:sz="1"/>
            </w:tcBorders>
            <w:shd w:fill="E8EDE6" w:val="clear"/>
            <w:tcMar>
              <w:top w:type="dxa" w:w="80"/>
              <w:left w:type="dxa" w:w="120"/>
              <w:bottom w:type="dxa" w:w="80"/>
              <w:right w:type="dxa" w:w="120"/>
            </w:tcMar>
          </w:tcPr>
          <w:p>
            <w:r>
              <w:rPr>
                <w:b/>
                <w:bCs/>
              </w:rPr>
              <w:t xml:space="preserve">Platform</w:t>
            </w:r>
          </w:p>
        </w:tc>
        <w:tc>
          <w:tcPr>
            <w:tcW w:type="dxa" w:w="6360"/>
            <w:tcBorders>
              <w:top w:val="single" w:color="B8BEB3" w:sz="1"/>
              <w:left w:val="single" w:color="B8BEB3" w:sz="1"/>
              <w:bottom w:val="single" w:color="B8BEB3" w:sz="1"/>
              <w:right w:val="single" w:color="B8BEB3" w:sz="1"/>
            </w:tcBorders>
            <w:shd w:fill="E8EDE6" w:val="clear"/>
            <w:tcMar>
              <w:top w:type="dxa" w:w="80"/>
              <w:left w:type="dxa" w:w="120"/>
              <w:bottom w:type="dxa" w:w="80"/>
              <w:right w:type="dxa" w:w="120"/>
            </w:tcMar>
          </w:tcPr>
          <w:p>
            <w:r>
              <w:rPr>
                <w:b/>
                <w:bCs/>
              </w:rPr>
              <w:t xml:space="preserve">Reason eliminated</w:t>
            </w:r>
          </w:p>
        </w:tc>
      </w:tr>
      <w:tr>
        <w:tc>
          <w:tcPr>
            <w:tcW w:type="dxa" w:w="300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Convex</w:t>
            </w:r>
          </w:p>
        </w:tc>
        <w:tc>
          <w:tcPr>
            <w:tcW w:type="dxa" w:w="636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No public HIPAA BAA. Excellent DX otherwise; revisit if they ship a HIPAA offering.</w:t>
            </w:r>
          </w:p>
        </w:tc>
      </w:tr>
      <w:tr>
        <w:tc>
          <w:tcPr>
            <w:tcW w:type="dxa" w:w="300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Firebase (as primary)</w:t>
            </w:r>
          </w:p>
        </w:tc>
        <w:tc>
          <w:tcPr>
            <w:tcW w:type="dxa" w:w="636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BAA eligibility is per-service; easy to accidentally put PHI into a non-eligible service. Operational risk too high unless surgically constrained.</w:t>
            </w:r>
          </w:p>
        </w:tc>
      </w:tr>
      <w:tr>
        <w:tc>
          <w:tcPr>
            <w:tcW w:type="dxa" w:w="300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Railway, DigitalOcean, Neon, PlanetScale</w:t>
            </w:r>
          </w:p>
        </w:tc>
        <w:tc>
          <w:tcPr>
            <w:tcW w:type="dxa" w:w="636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No HIPAA BAA offering at time of writing.</w:t>
            </w:r>
          </w:p>
        </w:tc>
      </w:tr>
      <w:tr>
        <w:tc>
          <w:tcPr>
            <w:tcW w:type="dxa" w:w="300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Heroku</w:t>
            </w:r>
          </w:p>
        </w:tc>
        <w:tc>
          <w:tcPr>
            <w:tcW w:type="dxa" w:w="636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Discontinued HIPAA offering for new customers.</w:t>
            </w:r>
          </w:p>
        </w:tc>
      </w:tr>
      <w:tr>
        <w:tc>
          <w:tcPr>
            <w:tcW w:type="dxa" w:w="300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Vercel / Netlify</w:t>
            </w:r>
          </w:p>
        </w:tc>
        <w:tc>
          <w:tcPr>
            <w:tcW w:type="dxa" w:w="6360"/>
            <w:tcBorders>
              <w:top w:val="single" w:color="B8BEB3" w:sz="1"/>
              <w:left w:val="single" w:color="B8BEB3" w:sz="1"/>
              <w:bottom w:val="single" w:color="B8BEB3" w:sz="1"/>
              <w:right w:val="single" w:color="B8BEB3" w:sz="1"/>
            </w:tcBorders>
            <w:tcMar>
              <w:top w:type="dxa" w:w="80"/>
              <w:left w:type="dxa" w:w="120"/>
              <w:bottom w:type="dxa" w:w="80"/>
              <w:right w:type="dxa" w:w="120"/>
            </w:tcMar>
          </w:tcPr>
          <w:p>
            <w:r>
              <w:rPr>
                <w:b w:val="false"/>
                <w:bCs w:val="false"/>
              </w:rPr>
              <w:t xml:space="preserve">Fine for edge/static hosting; don't use as a primary data store.</w:t>
            </w:r>
          </w:p>
        </w:tc>
      </w:tr>
    </w:tbl>
    <w:p>
      <w:pPr>
        <w:pStyle w:val="Heading1"/>
      </w:pPr>
      <w:r>
        <w:t xml:space="preserve">Migration path (if we ever leave Supabase)</w:t>
      </w:r>
    </w:p>
    <w:p>
      <w:pPr>
        <w:spacing w:after="120"/>
      </w:pPr>
      <w:r>
        <w:t xml:space="preserve">We'll keep the backend API layer under our own control rather than letting the app talk directly to Supabase's SDK for business-critical paths. This is slightly more work today and pays for itself the first time we need to swap the data store.</w:t>
      </w:r>
    </w:p>
    <w:p>
      <w:pPr>
        <w:pStyle w:val="ListParagraph"/>
        <w:numPr>
          <w:ilvl w:val="0"/>
          <w:numId w:val="2"/>
        </w:numPr>
      </w:pPr>
      <w:r>
        <w:t xml:space="preserve">Define a thin REST/GraphQL API layer (Supabase Edge Functions or a tiny Kotlin/Node service in front).</w:t>
      </w:r>
    </w:p>
    <w:p>
      <w:pPr>
        <w:pStyle w:val="ListParagraph"/>
        <w:numPr>
          <w:ilvl w:val="0"/>
          <w:numId w:val="2"/>
        </w:numPr>
      </w:pPr>
      <w:r>
        <w:t xml:space="preserve">The Kotlin Multiplatform app talks to that API only; it never talks to raw Postgres, raw Auth, or raw Storage.</w:t>
      </w:r>
    </w:p>
    <w:p>
      <w:pPr>
        <w:pStyle w:val="ListParagraph"/>
        <w:numPr>
          <w:ilvl w:val="0"/>
          <w:numId w:val="2"/>
        </w:numPr>
      </w:pPr>
      <w:r>
        <w:t xml:space="preserve">All schema changes go through Postgres migrations (sqlx, dbmate, or Supabase's built-in) we check into the repo.</w:t>
      </w:r>
    </w:p>
    <w:p>
      <w:pPr>
        <w:pStyle w:val="ListParagraph"/>
        <w:numPr>
          <w:ilvl w:val="0"/>
          <w:numId w:val="2"/>
        </w:numPr>
      </w:pPr>
      <w:r>
        <w:t xml:space="preserve">Auth tokens are signed JWTs we issue via our API, even if Supabase Auth does the heavy lifting behind the scenes. This means switching auth providers later does not invalidate sessions on the app side.</w:t>
      </w:r>
    </w:p>
    <w:p>
      <w:pPr>
        <w:spacing w:after="120"/>
      </w:pPr>
      <w:r>
        <w:t xml:space="preserve">If we have to migrate in 2028, the steps are: pg_dump → restore into Aurora, lift the API layer onto ECS/Fargate or Lambda, swap Auth to Cognito, re-point the DNS. Projected effort: 4–8 engineer-weeks, not a rewrite.</w:t>
      </w:r>
    </w:p>
    <w:p>
      <w:pPr>
        <w:pStyle w:val="Heading1"/>
      </w:pPr>
      <w:r>
        <w:t xml:space="preserve">Hardening checklist (before any PHI hits production)</w:t>
      </w:r>
    </w:p>
    <w:p>
      <w:pPr>
        <w:pStyle w:val="ListParagraph"/>
        <w:numPr>
          <w:ilvl w:val="0"/>
          <w:numId w:val="2"/>
        </w:numPr>
      </w:pPr>
      <w:r>
        <w:t xml:space="preserve">BAA signed with Supabase.</w:t>
      </w:r>
    </w:p>
    <w:p>
      <w:pPr>
        <w:pStyle w:val="ListParagraph"/>
        <w:numPr>
          <w:ilvl w:val="0"/>
          <w:numId w:val="2"/>
        </w:numPr>
      </w:pPr>
      <w:r>
        <w:t xml:space="preserve">Row-level security enabled on every table that holds user data.</w:t>
      </w:r>
    </w:p>
    <w:p>
      <w:pPr>
        <w:pStyle w:val="ListParagraph"/>
        <w:numPr>
          <w:ilvl w:val="0"/>
          <w:numId w:val="2"/>
        </w:numPr>
      </w:pPr>
      <w:r>
        <w:t xml:space="preserve">Auth MFA available and strongly recommended in onboarding.</w:t>
      </w:r>
    </w:p>
    <w:p>
      <w:pPr>
        <w:pStyle w:val="ListParagraph"/>
        <w:numPr>
          <w:ilvl w:val="0"/>
          <w:numId w:val="2"/>
        </w:numPr>
      </w:pPr>
      <w:r>
        <w:t xml:space="preserve">KMS-style key management for any app-layer encryption (if we encrypt at the field level for especially sensitive data).</w:t>
      </w:r>
    </w:p>
    <w:p>
      <w:pPr>
        <w:pStyle w:val="ListParagraph"/>
        <w:numPr>
          <w:ilvl w:val="0"/>
          <w:numId w:val="2"/>
        </w:numPr>
      </w:pPr>
      <w:r>
        <w:t xml:space="preserve">Audit logging enabled and retained for 6 years (HIPAA standard).</w:t>
      </w:r>
    </w:p>
    <w:p>
      <w:pPr>
        <w:pStyle w:val="ListParagraph"/>
        <w:numPr>
          <w:ilvl w:val="0"/>
          <w:numId w:val="2"/>
        </w:numPr>
      </w:pPr>
      <w:r>
        <w:t xml:space="preserve">Backup + PITR configured; tested restore procedure documented.</w:t>
      </w:r>
    </w:p>
    <w:p>
      <w:pPr>
        <w:pStyle w:val="ListParagraph"/>
        <w:numPr>
          <w:ilvl w:val="0"/>
          <w:numId w:val="2"/>
        </w:numPr>
      </w:pPr>
      <w:r>
        <w:t xml:space="preserve">Incident response runbook written (even a one-pager).</w:t>
      </w:r>
    </w:p>
    <w:p>
      <w:pPr>
        <w:pStyle w:val="ListParagraph"/>
        <w:numPr>
          <w:ilvl w:val="0"/>
          <w:numId w:val="2"/>
        </w:numPr>
      </w:pPr>
      <w:r>
        <w:t xml:space="preserve">Written security policy, access policy, workforce training acknowledgment (solo-founder: this is a Notion doc you sign and date).</w:t>
      </w:r>
    </w:p>
    <w:p>
      <w:pPr>
        <w:pStyle w:val="ListParagraph"/>
        <w:numPr>
          <w:ilvl w:val="0"/>
          <w:numId w:val="2"/>
        </w:numPr>
      </w:pPr>
      <w:r>
        <w:t xml:space="preserve">Data processing inventory. Every vendor that touches PHI gets a line item and a BAA link.</w:t>
      </w:r>
    </w:p>
    <w:p>
      <w:pPr>
        <w:pStyle w:val="ListParagraph"/>
        <w:numPr>
          <w:ilvl w:val="0"/>
          <w:numId w:val="2"/>
        </w:numPr>
      </w:pPr>
      <w:r>
        <w:t xml:space="preserve">Analytics/telemetry pipeline does not receive PHI. Validate with a staging run-through.</w:t>
      </w:r>
    </w:p>
    <w:p>
      <w:pPr>
        <w:pStyle w:val="ListParagraph"/>
        <w:numPr>
          <w:ilvl w:val="0"/>
          <w:numId w:val="2"/>
        </w:numPr>
      </w:pPr>
      <w:r>
        <w:t xml:space="preserve">Privacy policy + ToS reviewed by a lawyer. Generic generators are not enough once you're handling health data.</w:t>
      </w:r>
    </w:p>
    <w:p>
      <w:pPr>
        <w:pStyle w:val="Heading1"/>
      </w:pPr>
      <w:r>
        <w:t xml:space="preserve">Recommended next step: a two-week spike</w:t>
      </w:r>
    </w:p>
    <w:p>
      <w:pPr>
        <w:spacing w:after="120"/>
      </w:pPr>
      <w:r>
        <w:t xml:space="preserve">Before committing capital to Supabase Team + HIPAA, run a timeboxed spike:</w:t>
      </w:r>
    </w:p>
    <w:p>
      <w:pPr>
        <w:pStyle w:val="ListParagraph"/>
        <w:numPr>
          <w:ilvl w:val="0"/>
          <w:numId w:val="2"/>
        </w:numPr>
      </w:pPr>
      <w:r>
        <w:t xml:space="preserve">Sign up for Supabase Pro tier (one month; HIPAA add-on can be added at the same moment).</w:t>
      </w:r>
    </w:p>
    <w:p>
      <w:pPr>
        <w:pStyle w:val="ListParagraph"/>
        <w:numPr>
          <w:ilvl w:val="0"/>
          <w:numId w:val="2"/>
        </w:numPr>
      </w:pPr>
      <w:r>
        <w:t xml:space="preserve">Stand up a schema mirroring the existing SQLDelight tables.</w:t>
      </w:r>
    </w:p>
    <w:p>
      <w:pPr>
        <w:pStyle w:val="ListParagraph"/>
        <w:numPr>
          <w:ilvl w:val="0"/>
          <w:numId w:val="2"/>
        </w:numPr>
      </w:pPr>
      <w:r>
        <w:t xml:space="preserve">Wire Supabase Auth into the Kotlin Multiplatform client using your existing auth abstraction.</w:t>
      </w:r>
    </w:p>
    <w:p>
      <w:pPr>
        <w:pStyle w:val="ListParagraph"/>
        <w:numPr>
          <w:ilvl w:val="0"/>
          <w:numId w:val="2"/>
        </w:numPr>
      </w:pPr>
      <w:r>
        <w:t xml:space="preserve">Write one end-to-end flow: insert a LogEntry from the Android app → hits your API → persists to Postgres → streams back via realtime → shows up on a second device.</w:t>
      </w:r>
    </w:p>
    <w:p>
      <w:pPr>
        <w:pStyle w:val="ListParagraph"/>
        <w:numPr>
          <w:ilvl w:val="0"/>
          <w:numId w:val="2"/>
        </w:numPr>
      </w:pPr>
      <w:r>
        <w:t xml:space="preserve">Measure cold-start latency, round-trip latency, and any HIPAA gotchas (e.g. realtime channel payloads leaking user IDs to clients that shouldn't see them).</w:t>
      </w:r>
    </w:p>
    <w:p>
      <w:pPr>
        <w:pStyle w:val="ListParagraph"/>
        <w:numPr>
          <w:ilvl w:val="0"/>
          <w:numId w:val="2"/>
        </w:numPr>
      </w:pPr>
      <w:r>
        <w:t xml:space="preserve">At the end of two weeks, either commit to Supabase or pivot to Option B with real data in hand.</w:t>
      </w:r>
    </w:p>
    <w:p>
      <w:pPr>
        <w:pStyle w:val="Heading1"/>
      </w:pPr>
      <w:r>
        <w:t xml:space="preserve">Appendix: LLM and ancillary vendors</w:t>
      </w:r>
    </w:p>
    <w:p>
      <w:pPr>
        <w:spacing w:after="120"/>
      </w:pPr>
      <w:r>
        <w:t xml:space="preserve">The backend platform is only one HIPAA decision. The LLM provider for the v2 assistant is another; so is the analytics stack. Short version:</w:t>
      </w:r>
    </w:p>
    <w:p>
      <w:pPr>
        <w:pStyle w:val="ListParagraph"/>
        <w:numPr>
          <w:ilvl w:val="0"/>
          <w:numId w:val="2"/>
        </w:numPr>
      </w:pPr>
      <w:r>
        <w:t xml:space="preserve">LLM: use Anthropic via AWS Bedrock (covered under AWS BAA) or direct Anthropic enterprise BAA. OpenAI also offers a BAA via API Enterprise.</w:t>
      </w:r>
    </w:p>
    <w:p>
      <w:pPr>
        <w:pStyle w:val="ListParagraph"/>
        <w:numPr>
          <w:ilvl w:val="0"/>
          <w:numId w:val="2"/>
        </w:numPr>
      </w:pPr>
      <w:r>
        <w:t xml:space="preserve">Analytics: PostHog self-hosted or PostHog Cloud (HIPAA tier). Aptabase is a lightweight alternative.</w:t>
      </w:r>
    </w:p>
    <w:p>
      <w:pPr>
        <w:pStyle w:val="ListParagraph"/>
        <w:numPr>
          <w:ilvl w:val="0"/>
          <w:numId w:val="2"/>
        </w:numPr>
      </w:pPr>
      <w:r>
        <w:t xml:space="preserve">Error tracking: Sentry (BAA on Business tier) or self-hosted GlitchTip.</w:t>
      </w:r>
    </w:p>
    <w:p>
      <w:pPr>
        <w:pStyle w:val="ListParagraph"/>
        <w:numPr>
          <w:ilvl w:val="0"/>
          <w:numId w:val="2"/>
        </w:numPr>
      </w:pPr>
      <w:r>
        <w:t xml:space="preserve">Email: Postmark or Amazon SES with BAA for transactional email; never put PHI in subject lines.</w:t>
      </w:r>
    </w:p>
    <w:p>
      <w:pPr>
        <w:pStyle w:val="ListParagraph"/>
        <w:numPr>
          <w:ilvl w:val="0"/>
          <w:numId w:val="2"/>
        </w:numPr>
      </w:pPr>
      <w:r>
        <w:t xml:space="preserve">Push notifications: APNs + FCM — do not put PHI in the payload. Use opaque identifiers and render content client-side.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C776E"/>
        <w:sz w:val="18"/>
        <w:szCs w:val="18"/>
      </w:rPr>
      <w:t xml:space="preserve">WeekendWare — Confidential — Page </w:t>
    </w:r>
    <w:r>
      <w:rPr>
        <w:color w:val="7C77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C776E"/>
        <w:sz w:val="18"/>
        <w:szCs w:val="18"/>
      </w:rPr>
      <w:t xml:space="preserve">Basil — Backend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734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D4E41"/>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5468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Basil — Backend Platform Decision Memo</dc:title>
  <dc:creator>WeekendWare</dc:creator>
  <cp:lastModifiedBy>Un-named</cp:lastModifiedBy>
  <cp:revision>1</cp:revision>
  <dcterms:created xsi:type="dcterms:W3CDTF">2026-04-20T14:44:46.377Z</dcterms:created>
  <dcterms:modified xsi:type="dcterms:W3CDTF">2026-04-20T14:44:46.378Z</dcterms:modified>
</cp:coreProperties>
</file>

<file path=docProps/custom.xml><?xml version="1.0" encoding="utf-8"?>
<Properties xmlns="http://schemas.openxmlformats.org/officeDocument/2006/custom-properties" xmlns:vt="http://schemas.openxmlformats.org/officeDocument/2006/docPropsVTypes"/>
</file>