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color w:val="1F4E79"/>
          <w:sz w:val="84"/>
        </w:rPr>
      </w:pPr>
    </w:p>
    <w:p>
      <w:pPr>
        <w:jc w:val="both"/>
        <w:rPr>
          <w:rFonts w:hint="eastAsia" w:ascii="微软雅黑" w:hAnsi="微软雅黑" w:eastAsia="微软雅黑" w:cs="微软雅黑"/>
          <w:b/>
          <w:color w:val="1F4E79"/>
          <w:sz w:val="84"/>
        </w:rPr>
      </w:pPr>
    </w:p>
    <w:p>
      <w:pPr>
        <w:pStyle w:val="2"/>
        <w:jc w:val="center"/>
        <w:rPr>
          <w:rFonts w:hint="eastAsia" w:ascii="微软雅黑" w:hAnsi="微软雅黑" w:eastAsia="微软雅黑" w:cs="微软雅黑"/>
          <w:color w:val="2E75B6" w:themeColor="accent1" w:themeShade="BF"/>
          <w:sz w:val="72"/>
          <w:szCs w:val="72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sz w:val="72"/>
          <w:szCs w:val="72"/>
        </w:rPr>
        <w:t>${theme}网络传播分析报告</w:t>
      </w:r>
    </w:p>
    <w:p>
      <w:pPr>
        <w:pStyle w:val="3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${year}年${month}月${day}日</w:t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一、本期导读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ind w:firstLine="640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本报告就加入素材的文章进行分析，共有${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NumberOfNews</w:t>
      </w:r>
      <w:r>
        <w:rPr>
          <w:rFonts w:hint="eastAsia" w:ascii="微软雅黑" w:hAnsi="微软雅黑" w:eastAsia="微软雅黑" w:cs="微软雅黑"/>
          <w:sz w:val="32"/>
          <w:szCs w:val="32"/>
        </w:rPr>
        <w:t>}篇相关素材。其中$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{DetailOfNews}</w:t>
      </w:r>
      <w:r>
        <w:rPr>
          <w:rFonts w:hint="eastAsia" w:ascii="微软雅黑" w:hAnsi="微软雅黑" w:eastAsia="微软雅黑" w:cs="微软雅黑"/>
          <w:sz w:val="32"/>
          <w:szCs w:val="32"/>
        </w:rPr>
        <w:t>而$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{MaxOfWeb}</w:t>
      </w:r>
      <w:r>
        <w:rPr>
          <w:rFonts w:hint="eastAsia" w:ascii="微软雅黑" w:hAnsi="微软雅黑" w:eastAsia="微软雅黑" w:cs="微软雅黑"/>
          <w:sz w:val="32"/>
          <w:szCs w:val="32"/>
        </w:rPr>
        <w:t>的比重最大，共有$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{vMaxOfWeb}</w:t>
      </w:r>
      <w:r>
        <w:rPr>
          <w:rFonts w:hint="eastAsia" w:ascii="微软雅黑" w:hAnsi="微软雅黑" w:eastAsia="微软雅黑" w:cs="微软雅黑"/>
          <w:sz w:val="32"/>
          <w:szCs w:val="32"/>
        </w:rPr>
        <w:t>篇，达到信息总量的$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{cMaxOfWeb}</w:t>
      </w:r>
      <w:r>
        <w:rPr>
          <w:rFonts w:hint="eastAsia" w:ascii="微软雅黑" w:hAnsi="微软雅黑" w:eastAsia="微软雅黑" w:cs="微软雅黑"/>
          <w:sz w:val="32"/>
          <w:szCs w:val="32"/>
        </w:rPr>
        <w:t>。目前主要的报道集中在新浪微博、腾讯微博等几大站点。详细报告请继续浏览。</w:t>
      </w:r>
      <w:r>
        <w:rPr>
          <w:rFonts w:hint="eastAsia" w:ascii="微软雅黑" w:hAnsi="微软雅黑" w:eastAsia="微软雅黑" w:cs="微软雅黑"/>
          <w:sz w:val="32"/>
        </w:rPr>
        <w:t xml:space="preserve"> 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二、处置建议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对于舆情信息中具有潜在危害的事件及情况应给予关注并积极处理，防止不良影响产生及扩散。此外，密切关注此前敏感预警事件的发展情况，及时制定有效应对措施。鉴于监测结果中负面舆情时有发生， 应吸取相关经验教训，做好预防和处理工作。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三、监测总览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sz w:val="32"/>
        </w:rPr>
        <w:t>一）监测概述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  <w:lang w:eastAsia="zh-CN"/>
        </w:rPr>
      </w:pPr>
      <w:r>
        <w:rPr>
          <w:rFonts w:hint="eastAsia" w:ascii="微软雅黑" w:hAnsi="微软雅黑" w:eastAsia="微软雅黑" w:cs="微软雅黑"/>
          <w:sz w:val="32"/>
        </w:rPr>
        <w:t xml:space="preserve">     监测主题相关信息${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NumberOfNews</w:t>
      </w:r>
      <w:r>
        <w:rPr>
          <w:rFonts w:hint="eastAsia" w:ascii="微软雅黑" w:hAnsi="微软雅黑" w:eastAsia="微软雅黑" w:cs="微软雅黑"/>
          <w:sz w:val="32"/>
        </w:rPr>
        <w:t>}条，其中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负倾向性</w:t>
      </w:r>
      <w:r>
        <w:rPr>
          <w:rFonts w:hint="eastAsia" w:ascii="微软雅黑" w:hAnsi="微软雅黑" w:eastAsia="微软雅黑" w:cs="微软雅黑"/>
          <w:sz w:val="32"/>
        </w:rPr>
        <w:t>${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NevOfNews</w:t>
      </w:r>
      <w:r>
        <w:rPr>
          <w:rFonts w:hint="eastAsia" w:ascii="微软雅黑" w:hAnsi="微软雅黑" w:eastAsia="微软雅黑" w:cs="微软雅黑"/>
          <w:sz w:val="32"/>
        </w:rPr>
        <w:t>}条，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负倾向性</w:t>
      </w:r>
      <w:r>
        <w:rPr>
          <w:rFonts w:hint="eastAsia" w:ascii="微软雅黑" w:hAnsi="微软雅黑" w:eastAsia="微软雅黑" w:cs="微软雅黑"/>
          <w:sz w:val="32"/>
        </w:rPr>
        <w:t>占比${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vNevOfNews</w:t>
      </w:r>
      <w:r>
        <w:rPr>
          <w:rFonts w:hint="eastAsia" w:ascii="微软雅黑" w:hAnsi="微软雅黑" w:eastAsia="微软雅黑" w:cs="微软雅黑"/>
          <w:sz w:val="32"/>
        </w:rPr>
        <w:t>}，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中倾向性</w:t>
      </w:r>
      <w:r>
        <w:rPr>
          <w:rFonts w:hint="eastAsia" w:ascii="微软雅黑" w:hAnsi="微软雅黑" w:eastAsia="微软雅黑" w:cs="微软雅黑"/>
          <w:sz w:val="32"/>
        </w:rPr>
        <w:t>${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CenOfNews</w:t>
      </w:r>
      <w:r>
        <w:rPr>
          <w:rFonts w:hint="eastAsia" w:ascii="微软雅黑" w:hAnsi="微软雅黑" w:eastAsia="微软雅黑" w:cs="微软雅黑"/>
          <w:sz w:val="32"/>
        </w:rPr>
        <w:t>}条，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中倾向性</w:t>
      </w:r>
      <w:r>
        <w:rPr>
          <w:rFonts w:hint="eastAsia" w:ascii="微软雅黑" w:hAnsi="微软雅黑" w:eastAsia="微软雅黑" w:cs="微软雅黑"/>
          <w:sz w:val="32"/>
        </w:rPr>
        <w:t>占比${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vCenOfNews</w:t>
      </w:r>
      <w:r>
        <w:rPr>
          <w:rFonts w:hint="eastAsia" w:ascii="微软雅黑" w:hAnsi="微软雅黑" w:eastAsia="微软雅黑" w:cs="微软雅黑"/>
          <w:sz w:val="32"/>
        </w:rPr>
        <w:t>}，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正倾向性</w:t>
      </w:r>
      <w:r>
        <w:rPr>
          <w:rFonts w:hint="eastAsia" w:ascii="微软雅黑" w:hAnsi="微软雅黑" w:eastAsia="微软雅黑" w:cs="微软雅黑"/>
          <w:sz w:val="32"/>
        </w:rPr>
        <w:t>${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PosOfNews</w:t>
      </w:r>
      <w:r>
        <w:rPr>
          <w:rFonts w:hint="eastAsia" w:ascii="微软雅黑" w:hAnsi="微软雅黑" w:eastAsia="微软雅黑" w:cs="微软雅黑"/>
          <w:sz w:val="32"/>
        </w:rPr>
        <w:t>}条，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负倾向性</w:t>
      </w:r>
      <w:r>
        <w:rPr>
          <w:rFonts w:hint="eastAsia" w:ascii="微软雅黑" w:hAnsi="微软雅黑" w:eastAsia="微软雅黑" w:cs="微软雅黑"/>
          <w:sz w:val="32"/>
        </w:rPr>
        <w:t>占比${</w:t>
      </w:r>
      <w:r>
        <w:rPr>
          <w:rFonts w:hint="eastAsia" w:ascii="微软雅黑" w:hAnsi="微软雅黑" w:eastAsia="微软雅黑" w:cs="微软雅黑"/>
          <w:sz w:val="32"/>
          <w:lang w:val="en-US" w:eastAsia="zh-CN"/>
        </w:rPr>
        <w:t>vPosOfNews</w:t>
      </w:r>
      <w:r>
        <w:rPr>
          <w:rFonts w:hint="eastAsia" w:ascii="微软雅黑" w:hAnsi="微软雅黑" w:eastAsia="微软雅黑" w:cs="微软雅黑"/>
          <w:sz w:val="32"/>
        </w:rPr>
        <w:t>}</w:t>
      </w:r>
      <w:r>
        <w:rPr>
          <w:rFonts w:hint="eastAsia" w:ascii="微软雅黑" w:hAnsi="微软雅黑" w:eastAsia="微软雅黑" w:cs="微软雅黑"/>
          <w:sz w:val="32"/>
          <w:lang w:eastAsia="zh-CN"/>
        </w:rPr>
        <w:t>。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  <w:lang w:eastAsia="zh-CN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>（二）信息来源类型统计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drawing>
          <wp:inline distT="0" distB="0" distL="114300" distR="114300">
            <wp:extent cx="5397500" cy="32385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t>（三）信息情感分布</w:t>
      </w:r>
    </w:p>
    <w:p>
      <w:pPr>
        <w:spacing w:beforeLines="0" w:afterLines="0"/>
        <w:jc w:val="center"/>
        <w:rPr>
          <w:rFonts w:hint="eastAsia" w:ascii="微软雅黑" w:hAnsi="微软雅黑" w:eastAsia="微软雅黑" w:cs="微软雅黑"/>
          <w:sz w:val="32"/>
        </w:rPr>
      </w:pPr>
      <w:r>
        <w:rPr>
          <w:rFonts w:hint="eastAsia" w:ascii="微软雅黑" w:hAnsi="微软雅黑" w:eastAsia="微软雅黑" w:cs="微软雅黑"/>
          <w:sz w:val="32"/>
        </w:rPr>
        <w:drawing>
          <wp:inline distT="0" distB="0" distL="114300" distR="114300">
            <wp:extent cx="5778500" cy="3200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四、主要舆情</w:t>
      </w:r>
    </w:p>
    <w:p>
      <w:pPr>
        <w:spacing w:beforeLines="0" w:afterLines="0"/>
        <w:rPr>
          <w:rFonts w:hint="eastAsia" w:ascii="微软雅黑" w:hAnsi="微软雅黑" w:eastAsia="微软雅黑" w:cs="微软雅黑"/>
          <w:sz w:val="32"/>
        </w:rPr>
      </w:pPr>
    </w:p>
    <w:tbl>
      <w:tblPr>
        <w:tblStyle w:val="5"/>
        <w:tblW w:w="9305" w:type="dxa"/>
        <w:jc w:val="center"/>
        <w:tblInd w:w="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20" w:type="dxa"/>
          <w:bottom w:w="0" w:type="dxa"/>
          <w:right w:w="20" w:type="dxa"/>
        </w:tblCellMar>
      </w:tblPr>
      <w:tblGrid>
        <w:gridCol w:w="1163"/>
        <w:gridCol w:w="5118"/>
        <w:gridCol w:w="1745"/>
        <w:gridCol w:w="127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</w:rPr>
              <w:t>序列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</w:rPr>
              <w:t>标题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</w:rPr>
              <w:t>日期与来源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32"/>
              </w:rPr>
            </w:pPr>
            <w:r>
              <w:rPr>
                <w:rFonts w:hint="eastAsia" w:ascii="微软雅黑" w:hAnsi="微软雅黑" w:eastAsia="微软雅黑" w:cs="微软雅黑"/>
                <w:sz w:val="32"/>
              </w:rPr>
              <w:t>属性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20" w:type="dxa"/>
            <w:bottom w:w="0" w:type="dxa"/>
            <w:right w:w="20" w:type="dxa"/>
          </w:tblCellMar>
        </w:tblPrEx>
        <w:trPr>
          <w:jc w:val="center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lang w:val="en-US" w:eastAsia="zh-CN"/>
              </w:rPr>
              <w:t>${listKey.id}</w:t>
            </w:r>
          </w:p>
        </w:tc>
        <w:tc>
          <w:tcPr>
            <w:tcW w:w="5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${listKey.title}</w:t>
            </w:r>
          </w:p>
        </w:tc>
        <w:tc>
          <w:tcPr>
            <w:tcW w:w="17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${listKey.web}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spacing w:beforeLines="0" w:afterLines="0"/>
              <w:jc w:val="center"/>
              <w:rPr>
                <w:rFonts w:hint="eastAsia" w:ascii="微软雅黑" w:hAnsi="微软雅黑" w:eastAsia="微软雅黑" w:cs="微软雅黑"/>
                <w:sz w:val="22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${listKey.tendClass}</w:t>
            </w:r>
          </w:p>
        </w:tc>
      </w:tr>
    </w:tbl>
    <w:p>
      <w:pPr>
        <w:spacing w:beforeLines="0" w:afterLines="0"/>
        <w:rPr>
          <w:rFonts w:hint="eastAsia" w:ascii="微软雅黑" w:hAnsi="微软雅黑" w:eastAsia="微软雅黑" w:cs="微软雅黑"/>
          <w:sz w:val="32"/>
          <w:lang w:eastAsia="zh-CN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五、舆情导读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default"/>
          <w:lang w:val="en-US"/>
        </w:rPr>
        <w:t>${listKey.id}</w:t>
      </w:r>
      <w:r>
        <w:rPr>
          <w:rFonts w:hint="eastAsia"/>
        </w:rPr>
        <w:t>)</w:t>
      </w:r>
      <w:r>
        <w:rPr>
          <w:rFonts w:hint="default"/>
          <w:lang w:val="en-US"/>
        </w:rPr>
        <w:t>${listKey.title}</w:t>
      </w:r>
    </w:p>
    <w:tbl>
      <w:tblPr>
        <w:tblStyle w:val="6"/>
        <w:tblW w:w="9990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76"/>
        <w:gridCol w:w="986"/>
        <w:gridCol w:w="1178"/>
        <w:gridCol w:w="773"/>
        <w:gridCol w:w="1267"/>
        <w:gridCol w:w="521"/>
        <w:gridCol w:w="2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47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/>
              </w:rPr>
              <w:t>${listKey.web}</w:t>
            </w:r>
          </w:p>
        </w:tc>
        <w:tc>
          <w:tcPr>
            <w:tcW w:w="98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178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${listKey.time}</w:t>
            </w:r>
          </w:p>
        </w:tc>
        <w:tc>
          <w:tcPr>
            <w:tcW w:w="773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倾向性</w:t>
            </w:r>
          </w:p>
        </w:tc>
        <w:tc>
          <w:tcPr>
            <w:tcW w:w="1267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${listKey.tendclass}</w:t>
            </w:r>
          </w:p>
        </w:tc>
        <w:tc>
          <w:tcPr>
            <w:tcW w:w="521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得分</w:t>
            </w:r>
          </w:p>
        </w:tc>
        <w:tc>
          <w:tcPr>
            <w:tcW w:w="2044" w:type="dxa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${listKey.tendscore}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45" w:type="dxa"/>
          </w:tcPr>
          <w:p>
            <w:pPr>
              <w:jc w:val="both"/>
              <w:rPr>
                <w:rFonts w:hint="eastAsia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全部内容</w:t>
            </w:r>
          </w:p>
        </w:tc>
        <w:tc>
          <w:tcPr>
            <w:tcW w:w="8245" w:type="dxa"/>
            <w:gridSpan w:val="7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default"/>
                <w:lang w:val="en-US"/>
              </w:rPr>
              <w:t>${listKey.allContent}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90" w:type="dxa"/>
            <w:gridSpan w:val="8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/>
                <w:lang w:val="en-US"/>
              </w:rPr>
              <w:t>${listKey.url}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sz w:val="28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 宋">
    <w:altName w:val="宋体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黑 体">
    <w:altName w:val="黑体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SongStd-Ligh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宋 体">
    <w:altName w:val="宋体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Helvetica Bold Oblique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D35FD"/>
    <w:rsid w:val="01677A0E"/>
    <w:rsid w:val="03184D9A"/>
    <w:rsid w:val="03551A4F"/>
    <w:rsid w:val="05BE6098"/>
    <w:rsid w:val="078B08B6"/>
    <w:rsid w:val="08B328BD"/>
    <w:rsid w:val="097C267A"/>
    <w:rsid w:val="0EC516C0"/>
    <w:rsid w:val="0FDE5A2A"/>
    <w:rsid w:val="115E5F72"/>
    <w:rsid w:val="11C7211E"/>
    <w:rsid w:val="1322327C"/>
    <w:rsid w:val="167679E3"/>
    <w:rsid w:val="16907AF9"/>
    <w:rsid w:val="17C1671F"/>
    <w:rsid w:val="199B4BA5"/>
    <w:rsid w:val="21CD7001"/>
    <w:rsid w:val="21E74148"/>
    <w:rsid w:val="26EE5A26"/>
    <w:rsid w:val="2A4E43CD"/>
    <w:rsid w:val="2B5F3A3F"/>
    <w:rsid w:val="2B777E5D"/>
    <w:rsid w:val="2BC37E42"/>
    <w:rsid w:val="2DE13909"/>
    <w:rsid w:val="2E9C1F86"/>
    <w:rsid w:val="2F923EB4"/>
    <w:rsid w:val="305252E8"/>
    <w:rsid w:val="326A32B2"/>
    <w:rsid w:val="327013E2"/>
    <w:rsid w:val="339341DB"/>
    <w:rsid w:val="34F52FEE"/>
    <w:rsid w:val="3531780E"/>
    <w:rsid w:val="385A5E8F"/>
    <w:rsid w:val="3A507643"/>
    <w:rsid w:val="3D13452B"/>
    <w:rsid w:val="3FFD1C8B"/>
    <w:rsid w:val="41976BCB"/>
    <w:rsid w:val="41FD65A8"/>
    <w:rsid w:val="42023644"/>
    <w:rsid w:val="42791B77"/>
    <w:rsid w:val="44361A94"/>
    <w:rsid w:val="44410186"/>
    <w:rsid w:val="47CD5C17"/>
    <w:rsid w:val="487E14FE"/>
    <w:rsid w:val="48E53D7B"/>
    <w:rsid w:val="4A79136E"/>
    <w:rsid w:val="4B3B2ADC"/>
    <w:rsid w:val="4BC264BC"/>
    <w:rsid w:val="4C58770F"/>
    <w:rsid w:val="4E5914BC"/>
    <w:rsid w:val="4E6D1050"/>
    <w:rsid w:val="4F6A0F86"/>
    <w:rsid w:val="51AB0661"/>
    <w:rsid w:val="51B10CB6"/>
    <w:rsid w:val="5233038B"/>
    <w:rsid w:val="54131CE5"/>
    <w:rsid w:val="545E39DE"/>
    <w:rsid w:val="54C247F0"/>
    <w:rsid w:val="57E23C37"/>
    <w:rsid w:val="58BB7850"/>
    <w:rsid w:val="590E29BC"/>
    <w:rsid w:val="59AC3732"/>
    <w:rsid w:val="5ACB481A"/>
    <w:rsid w:val="5C5C4B52"/>
    <w:rsid w:val="5CE4539C"/>
    <w:rsid w:val="5E23166E"/>
    <w:rsid w:val="5EE368B5"/>
    <w:rsid w:val="5FB84A3E"/>
    <w:rsid w:val="5FD14660"/>
    <w:rsid w:val="600660FB"/>
    <w:rsid w:val="60512218"/>
    <w:rsid w:val="62275F77"/>
    <w:rsid w:val="62903FA1"/>
    <w:rsid w:val="6399710A"/>
    <w:rsid w:val="63D957E0"/>
    <w:rsid w:val="640E7F4A"/>
    <w:rsid w:val="671A42F9"/>
    <w:rsid w:val="69D33BA7"/>
    <w:rsid w:val="69FD35FD"/>
    <w:rsid w:val="6A1A11CA"/>
    <w:rsid w:val="6BFE5C07"/>
    <w:rsid w:val="6C61209D"/>
    <w:rsid w:val="6C741B40"/>
    <w:rsid w:val="6D9B581F"/>
    <w:rsid w:val="6E6445F1"/>
    <w:rsid w:val="6F0B6938"/>
    <w:rsid w:val="70B3325A"/>
    <w:rsid w:val="70CE52CB"/>
    <w:rsid w:val="761E0B40"/>
    <w:rsid w:val="764515AF"/>
    <w:rsid w:val="770477B6"/>
    <w:rsid w:val="771C10CB"/>
    <w:rsid w:val="777F5C6E"/>
    <w:rsid w:val="79FC2153"/>
    <w:rsid w:val="7CC55CF1"/>
    <w:rsid w:val="7DED2BF3"/>
    <w:rsid w:val="7E733C8A"/>
    <w:rsid w:val="7FA5682F"/>
    <w:rsid w:val="7FC90260"/>
    <w:rsid w:val="7FE733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宋体" w:cstheme="minorBidi"/>
      <w:color w:val="00000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2017-01-04T17:38:00Z</dcterms:created>
  <dc:creator>Gavinjou</dc:creator>
  <cp:lastModifiedBy>Gavinjou</cp:lastModifiedBy>
  <dcterms:modified xsi:type="dcterms:W3CDTF">2017-01-05T15:13:40Z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