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b7h7rgaldmd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BME 362 Presentation 2</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Gavin: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focuses on unwitnessed falls in long-term care environments, especially in places like bedrooms and bathrooms where residents are more likely to experience longer “</w:t>
      </w:r>
      <w:r w:rsidDel="00000000" w:rsidR="00000000" w:rsidRPr="00000000">
        <w:rPr>
          <w:rFonts w:ascii="Times New Roman" w:cs="Times New Roman" w:eastAsia="Times New Roman" w:hAnsi="Times New Roman"/>
          <w:rtl w:val="0"/>
        </w:rPr>
        <w:t xml:space="preserve">lie</w:t>
      </w:r>
      <w:r w:rsidDel="00000000" w:rsidR="00000000" w:rsidRPr="00000000">
        <w:rPr>
          <w:rFonts w:ascii="Times New Roman" w:cs="Times New Roman" w:eastAsia="Times New Roman" w:hAnsi="Times New Roman"/>
          <w:rtl w:val="0"/>
        </w:rPr>
        <w:t xml:space="preserve">” times. Current research shows that falls are the leading cause of death in elderly populations in North America, and within LTC specifically, evidence from a meta-analysis shows that higher severity fall incidents in nursing home residents is high due to a lack of proactive response times </w:t>
      </w:r>
      <w:commentRangeStart w:id="0"/>
      <w:r w:rsidDel="00000000" w:rsidR="00000000" w:rsidRPr="00000000">
        <w:rPr>
          <w:rFonts w:ascii="Times New Roman" w:cs="Times New Roman" w:eastAsia="Times New Roman" w:hAnsi="Times New Roman"/>
          <w:rtl w:val="0"/>
        </w:rPr>
        <w:t xml:space="preserve">[source]</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Lie time is referred to as the period a person remains on the floor after a fall until discovery and help. Longer lie times are highly correlated with significant worsening of post-incident patient outcomes. Therefore, the outcome that matters for residents isn’t just fall detection. For North American seniors in LTC, the key factor that defines the difference between life and death is response time </w:t>
      </w:r>
      <w:commentRangeStart w:id="1"/>
      <w:r w:rsidDel="00000000" w:rsidR="00000000" w:rsidRPr="00000000">
        <w:rPr>
          <w:rFonts w:ascii="Times New Roman" w:cs="Times New Roman" w:eastAsia="Times New Roman" w:hAnsi="Times New Roman"/>
          <w:rtl w:val="0"/>
        </w:rPr>
        <w:t xml:space="preserve">[source].</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Current fall detection systems and related research often focus on identifying when a fall occurs, but they pay less attention to reducing the time it takes to assist individuals afterward. As a result, long lie times—especially after unwitnessed falls in bedrooms and bathrooms—are often under-prioritized, highlighting the need for faster post-fall response times [</w:t>
      </w:r>
      <w:commentRangeStart w:id="2"/>
      <w:r w:rsidDel="00000000" w:rsidR="00000000" w:rsidRPr="00000000">
        <w:rPr>
          <w:rFonts w:ascii="Times New Roman" w:cs="Times New Roman" w:eastAsia="Times New Roman" w:hAnsi="Times New Roman"/>
          <w:rtl w:val="0"/>
        </w:rPr>
        <w:t xml:space="preserve">source</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w:t>
      </w:r>
      <w:commentRangeStart w:id="3"/>
      <w:r w:rsidDel="00000000" w:rsidR="00000000" w:rsidRPr="00000000">
        <w:rPr>
          <w:rFonts w:ascii="Times New Roman" w:cs="Times New Roman" w:eastAsia="Times New Roman" w:hAnsi="Times New Roman"/>
          <w:rtl w:val="0"/>
        </w:rPr>
        <w:t xml:space="preserve">source]</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Calum:</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Analyzing the competitor landscape, we started to see trends and patterns between competitor products. All existing fall detection wearables are watches or pendants. They have sensors and alerts for high-impact falls, however, these devices are highly prone to false positives. Existing products use different methods, but improving one aspect often compromises another. For example in watches, cranking up IMU sensitivity to catch sudden slips can also flag normal actions like standing from a chair or kneeling. Wearables like pendants are easily triggered by high impacts or the patients themselves leading to false positives. Due to their bulky design, they are also uncomfortable and often removed at night, which can result in much longer </w:t>
      </w:r>
      <w:r w:rsidDel="00000000" w:rsidR="00000000" w:rsidRPr="00000000">
        <w:rPr>
          <w:rFonts w:ascii="Times New Roman" w:cs="Times New Roman" w:eastAsia="Times New Roman" w:hAnsi="Times New Roman"/>
          <w:rtl w:val="0"/>
        </w:rPr>
        <w:t xml:space="preserve">lie</w:t>
      </w:r>
      <w:r w:rsidDel="00000000" w:rsidR="00000000" w:rsidRPr="00000000">
        <w:rPr>
          <w:rFonts w:ascii="Times New Roman" w:cs="Times New Roman" w:eastAsia="Times New Roman" w:hAnsi="Times New Roman"/>
          <w:rtl w:val="0"/>
        </w:rPr>
        <w:t xml:space="preserve"> times and adverse events in the event of a nighttime fall. Additionally, when activated, many alerts route to 911/or a caregiver (nurses) without any context, meaning the nurses must attend every single paged event, regardless if one is more important than the other. As seen above current options leave gaps in the market that should be addressed to produce an effective affordable fall detection solution.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Dhruv:</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factors also play a role, as they magnify the problem in the same areas we are trying to target. Research and insights from stakeholders link low lighting levels in bedrooms/bathrooms to higher fall rates. Many rooms are below the recommended illuminance, especially in bathrooms, where steam, moisture, darkness, and compact/tight spaces lead to limited supervision. </w:t>
      </w:r>
      <w:commentRangeStart w:id="4"/>
      <w:r w:rsidDel="00000000" w:rsidR="00000000" w:rsidRPr="00000000">
        <w:rPr>
          <w:rFonts w:ascii="Times New Roman" w:cs="Times New Roman" w:eastAsia="Times New Roman" w:hAnsi="Times New Roman"/>
          <w:rtl w:val="0"/>
        </w:rPr>
        <w:t xml:space="preserve">[ source ]</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 Ontario’s privacy guidelines set a high bar for monitoring in private spaces: organizations must prove necessity, show that monitoring is the least intrusive option. Bedrooms carry heightened expectations of privacy, and washrooms are generally out-of-bounds for video, meaning many conventional systems can’t be deployed in the exact rooms where unwitnessed falls and long-lie occur</w:t>
      </w:r>
      <w:commentRangeStart w:id="5"/>
      <w:r w:rsidDel="00000000" w:rsidR="00000000" w:rsidRPr="00000000">
        <w:rPr>
          <w:rFonts w:ascii="Times New Roman" w:cs="Times New Roman" w:eastAsia="Times New Roman" w:hAnsi="Times New Roman"/>
          <w:rtl w:val="0"/>
        </w:rPr>
        <w:t xml:space="preserve">.</w:t>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 </w:t>
      </w:r>
      <w:commentRangeStart w:id="6"/>
      <w:r w:rsidDel="00000000" w:rsidR="00000000" w:rsidRPr="00000000">
        <w:rPr>
          <w:rFonts w:ascii="Times New Roman" w:cs="Times New Roman" w:eastAsia="Times New Roman" w:hAnsi="Times New Roman"/>
          <w:rtl w:val="0"/>
        </w:rPr>
        <w:t xml:space="preserve">[source]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stakeholder conversations, we spoke with post-fall elderly residents themselves. Residents recalled a fear of falling at night, embarrassment, and anxiety tied to bathroom events. They also showed a strong preference for privacy in bedrooms and bathrooms. Residents reported the inconsistent use of wearable devices, often removing them for comfort or sleep. Long-term care homes usually have contracts with companies that provide fall detection devices or pendant systems to fall risk individuals. Residents have reported the bulkiness and abrasiveness of the string around their neck to be a nuisance, causing them to take it off. Aside from comfort, residents do not like to show they have a “fall detection” device to others; they feel embarrassed and often take it off.  They expressed that being discovered quicker rather than “being watched” at all times is what matters. These conversations align with evidence from research indicating that many falls occur in patient rooms/bathrooms, and that the harmful aspect is the time spent on the floor before being discovered. </w:t>
      </w:r>
      <w:commentRangeStart w:id="7"/>
      <w:r w:rsidDel="00000000" w:rsidR="00000000" w:rsidRPr="00000000">
        <w:rPr>
          <w:rFonts w:ascii="Times New Roman" w:cs="Times New Roman" w:eastAsia="Times New Roman" w:hAnsi="Times New Roman"/>
          <w:rtl w:val="0"/>
        </w:rPr>
        <w:t xml:space="preserve"> [source]</w:t>
      </w:r>
      <w:commentRangeEnd w:id="7"/>
      <w:r w:rsidDel="00000000" w:rsidR="00000000" w:rsidRPr="00000000">
        <w:commentReference w:id="7"/>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Berto:</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Conversations with personal support workers described the main pain points being (1) unwitnessed night and/or bathroom events with a delayed discovery and (2) alarm fatigue. Nurses noted that consumer wearables often depend on LTE or wifi paired phones and often escalate externally, ie, calling 911 instead of notifying the staff first so that they can be dispatched to the resident in as short of a time as possible. Staff highlighted that SOS pendant triaging is ineffective, that when a resident presses a pendant, the alert does not contain any context aside from “hey, i just got clicked”. This leaves the PSW/nurses unable to distinguish a fall from a non-urgent request (ie. i dropped my remote on the ground, can you come pick it up). This ineffectiveness forces the staff to investigate every pendant page, which can create a “boy who cried wolf” alarm burden, leading to longer response times for future true emergencies. Studies of nursing home call-light systems report poor prioritization, ambiguous requests, and frequent “non-important” calls which lead to a clear workflow disruption </w:t>
      </w:r>
      <w:commentRangeStart w:id="8"/>
      <w:r w:rsidDel="00000000" w:rsidR="00000000" w:rsidRPr="00000000">
        <w:rPr>
          <w:rFonts w:ascii="Times New Roman" w:cs="Times New Roman" w:eastAsia="Times New Roman" w:hAnsi="Times New Roman"/>
          <w:rtl w:val="0"/>
        </w:rPr>
        <w:t xml:space="preserve">(source)</w:t>
      </w:r>
      <w:commentRangeEnd w:id="8"/>
      <w:r w:rsidDel="00000000" w:rsidR="00000000" w:rsidRPr="00000000">
        <w:commentReference w:id="8"/>
      </w:r>
      <w:r w:rsidDel="00000000" w:rsidR="00000000" w:rsidRPr="00000000">
        <w:rPr>
          <w:rFonts w:ascii="Times New Roman" w:cs="Times New Roman" w:eastAsia="Times New Roman" w:hAnsi="Times New Roman"/>
          <w:rtl w:val="0"/>
        </w:rPr>
        <w:t xml:space="preserve"> (</w:t>
      </w:r>
      <w:commentRangeStart w:id="9"/>
      <w:r w:rsidDel="00000000" w:rsidR="00000000" w:rsidRPr="00000000">
        <w:rPr>
          <w:rFonts w:ascii="Times New Roman" w:cs="Times New Roman" w:eastAsia="Times New Roman" w:hAnsi="Times New Roman"/>
          <w:rtl w:val="0"/>
        </w:rPr>
        <w:t xml:space="preserve">source). </w:t>
      </w:r>
      <w:commentRangeEnd w:id="9"/>
      <w:r w:rsidDel="00000000" w:rsidR="00000000" w:rsidRPr="00000000">
        <w:commentReference w:id="9"/>
      </w:r>
      <w:r w:rsidDel="00000000" w:rsidR="00000000" w:rsidRPr="00000000">
        <w:rPr>
          <w:rFonts w:ascii="Times New Roman" w:cs="Times New Roman" w:eastAsia="Times New Roman" w:hAnsi="Times New Roman"/>
          <w:rtl w:val="0"/>
        </w:rPr>
        <w:t xml:space="preserve"> Conversations with nurses/PSW ultimately highlighted how frequent low-value alerts often degraded responsiveness, and therefore increased the time taken to respond to a true fall when they actually occured.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Cardo" w:cs="Cardo" w:eastAsia="Cardo" w:hAnsi="Cardo"/>
          <w:rtl w:val="0"/>
        </w:rPr>
        <w:t xml:space="preserve">Nursies being fed up with alarm fatigue pretty good source → </w:t>
      </w:r>
      <w:hyperlink r:id="rId7">
        <w:r w:rsidDel="00000000" w:rsidR="00000000" w:rsidRPr="00000000">
          <w:rPr>
            <w:rFonts w:ascii="Times New Roman" w:cs="Times New Roman" w:eastAsia="Times New Roman" w:hAnsi="Times New Roman"/>
            <w:color w:val="1155cc"/>
            <w:u w:val="single"/>
            <w:rtl w:val="0"/>
          </w:rPr>
          <w:t xml:space="preserve">https://pmc.ncbi.nlm.nih.gov/articles/PMC6473316/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fall detection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 integrated device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720" w:top="720" w:left="720" w:right="720" w:header="720" w:footer="720"/>
          <w:pgNumType w:start="1"/>
        </w:sectPr>
      </w:pPr>
      <w:bookmarkStart w:colFirst="0" w:colLast="0" w:name="_15sa7pti2bc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rubric</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Slide.</w:t>
      </w:r>
    </w:p>
    <w:p w:rsidR="00000000" w:rsidDel="00000000" w:rsidP="00000000" w:rsidRDefault="00000000" w:rsidRPr="00000000" w14:paraId="0000002B">
      <w:pPr>
        <w:rPr/>
      </w:pPr>
      <w:r w:rsidDel="00000000" w:rsidR="00000000" w:rsidRPr="00000000">
        <w:rPr>
          <w:rtl w:val="0"/>
        </w:rPr>
        <w:t xml:space="preserve">The static slide has one required element:</w:t>
      </w:r>
    </w:p>
    <w:p w:rsidR="00000000" w:rsidDel="00000000" w:rsidP="00000000" w:rsidRDefault="00000000" w:rsidRPr="00000000" w14:paraId="0000002C">
      <w:pPr>
        <w:rPr/>
      </w:pPr>
      <w:r w:rsidDel="00000000" w:rsidR="00000000" w:rsidRPr="00000000">
        <w:rPr>
          <w:rtl w:val="0"/>
        </w:rPr>
        <w:t xml:space="preserve">• A clear situation impact statement or need statement.</w:t>
      </w:r>
    </w:p>
    <w:p w:rsidR="00000000" w:rsidDel="00000000" w:rsidP="00000000" w:rsidRDefault="00000000" w:rsidRPr="00000000" w14:paraId="0000002D">
      <w:pPr>
        <w:rPr/>
      </w:pPr>
      <w:r w:rsidDel="00000000" w:rsidR="00000000" w:rsidRPr="00000000">
        <w:rPr>
          <w:rtl w:val="0"/>
        </w:rPr>
        <w:t xml:space="preserve">Other elements to consider including on the slide are:</w:t>
      </w:r>
    </w:p>
    <w:p w:rsidR="00000000" w:rsidDel="00000000" w:rsidP="00000000" w:rsidRDefault="00000000" w:rsidRPr="00000000" w14:paraId="0000002E">
      <w:pPr>
        <w:rPr/>
      </w:pPr>
      <w:r w:rsidDel="00000000" w:rsidR="00000000" w:rsidRPr="00000000">
        <w:rPr>
          <w:rtl w:val="0"/>
        </w:rPr>
        <w:t xml:space="preserve">• Background information for your problem space.</w:t>
      </w:r>
    </w:p>
    <w:p w:rsidR="00000000" w:rsidDel="00000000" w:rsidP="00000000" w:rsidRDefault="00000000" w:rsidRPr="00000000" w14:paraId="0000002F">
      <w:pPr>
        <w:rPr/>
      </w:pPr>
      <w:r w:rsidDel="00000000" w:rsidR="00000000" w:rsidRPr="00000000">
        <w:rPr>
          <w:rtl w:val="0"/>
        </w:rPr>
        <w:t xml:space="preserve">• Unique information and opportunities that you have identified related to your problem.</w:t>
      </w:r>
    </w:p>
    <w:p w:rsidR="00000000" w:rsidDel="00000000" w:rsidP="00000000" w:rsidRDefault="00000000" w:rsidRPr="00000000" w14:paraId="00000030">
      <w:pPr>
        <w:rPr/>
      </w:pPr>
      <w:r w:rsidDel="00000000" w:rsidR="00000000" w:rsidRPr="00000000">
        <w:rPr>
          <w:rtl w:val="0"/>
        </w:rPr>
        <w:t xml:space="preserve">• Marketing or impact facts.</w:t>
      </w:r>
    </w:p>
    <w:p w:rsidR="00000000" w:rsidDel="00000000" w:rsidP="00000000" w:rsidRDefault="00000000" w:rsidRPr="00000000" w14:paraId="00000031">
      <w:pPr>
        <w:rPr/>
      </w:pPr>
      <w:r w:rsidDel="00000000" w:rsidR="00000000" w:rsidRPr="00000000">
        <w:rPr>
          <w:rtl w:val="0"/>
        </w:rPr>
        <w:t xml:space="preserve">• Project objectives or design specifications under consideration.</w:t>
      </w:r>
    </w:p>
    <w:p w:rsidR="00000000" w:rsidDel="00000000" w:rsidP="00000000" w:rsidRDefault="00000000" w:rsidRPr="00000000" w14:paraId="00000032">
      <w:pPr>
        <w:rPr/>
      </w:pPr>
      <w:r w:rsidDel="00000000" w:rsidR="00000000" w:rsidRPr="00000000">
        <w:rPr>
          <w:rtl w:val="0"/>
        </w:rPr>
        <w:t xml:space="preserve">This slide should include in-text citations. The specific format of the slide is up to you, but the</w:t>
      </w:r>
    </w:p>
    <w:p w:rsidR="00000000" w:rsidDel="00000000" w:rsidP="00000000" w:rsidRDefault="00000000" w:rsidRPr="00000000" w14:paraId="00000033">
      <w:pPr>
        <w:rPr/>
      </w:pPr>
      <w:r w:rsidDel="00000000" w:rsidR="00000000" w:rsidRPr="00000000">
        <w:rPr>
          <w:rtl w:val="0"/>
        </w:rPr>
        <w:t xml:space="preserve">slide must communicate the identified need clearly and effectively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Presentation.</w:t>
      </w:r>
    </w:p>
    <w:p w:rsidR="00000000" w:rsidDel="00000000" w:rsidP="00000000" w:rsidRDefault="00000000" w:rsidRPr="00000000" w14:paraId="0000003A">
      <w:pPr>
        <w:rPr/>
      </w:pPr>
      <w:r w:rsidDel="00000000" w:rsidR="00000000" w:rsidRPr="00000000">
        <w:rPr>
          <w:rtl w:val="0"/>
        </w:rPr>
        <w:t xml:space="preserve">During your five-minute talk, you should describe your problem space and identified need. This</w:t>
      </w:r>
    </w:p>
    <w:p w:rsidR="00000000" w:rsidDel="00000000" w:rsidP="00000000" w:rsidRDefault="00000000" w:rsidRPr="00000000" w14:paraId="0000003B">
      <w:pPr>
        <w:rPr/>
      </w:pPr>
      <w:r w:rsidDel="00000000" w:rsidR="00000000" w:rsidRPr="00000000">
        <w:rPr>
          <w:rtl w:val="0"/>
        </w:rPr>
        <w:t xml:space="preserve">is particularly important if you have changed your problem space since the previous presentation.</w:t>
      </w:r>
    </w:p>
    <w:p w:rsidR="00000000" w:rsidDel="00000000" w:rsidP="00000000" w:rsidRDefault="00000000" w:rsidRPr="00000000" w14:paraId="0000003C">
      <w:pPr>
        <w:rPr/>
      </w:pPr>
      <w:r w:rsidDel="00000000" w:rsidR="00000000" w:rsidRPr="00000000">
        <w:rPr>
          <w:rtl w:val="0"/>
        </w:rPr>
        <w:t xml:space="preserve">Make sure you identify the research you have done, stakeholders you have talked to, and the</w:t>
      </w:r>
    </w:p>
    <w:p w:rsidR="00000000" w:rsidDel="00000000" w:rsidP="00000000" w:rsidRDefault="00000000" w:rsidRPr="00000000" w14:paraId="0000003D">
      <w:pPr>
        <w:rPr/>
      </w:pPr>
      <w:r w:rsidDel="00000000" w:rsidR="00000000" w:rsidRPr="00000000">
        <w:rPr>
          <w:rtl w:val="0"/>
        </w:rPr>
        <w:t xml:space="preserve">insight they provided. The focus of this talk is on your needs assessment. There is no expectation</w:t>
      </w:r>
    </w:p>
    <w:p w:rsidR="00000000" w:rsidDel="00000000" w:rsidP="00000000" w:rsidRDefault="00000000" w:rsidRPr="00000000" w14:paraId="0000003E">
      <w:pPr>
        <w:rPr/>
      </w:pPr>
      <w:r w:rsidDel="00000000" w:rsidR="00000000" w:rsidRPr="00000000">
        <w:rPr>
          <w:rtl w:val="0"/>
        </w:rPr>
        <w:t xml:space="preserve">that you have thought of a solution yet. In fact, you are highly discouraged from presenting or</w:t>
      </w:r>
    </w:p>
    <w:p w:rsidR="00000000" w:rsidDel="00000000" w:rsidP="00000000" w:rsidRDefault="00000000" w:rsidRPr="00000000" w14:paraId="0000003F">
      <w:pPr>
        <w:rPr/>
      </w:pPr>
      <w:r w:rsidDel="00000000" w:rsidR="00000000" w:rsidRPr="00000000">
        <w:rPr>
          <w:rtl w:val="0"/>
        </w:rPr>
        <w:t xml:space="preserve">discussing a solution at this stage unless you have already done significant research and had</w:t>
      </w:r>
    </w:p>
    <w:p w:rsidR="00000000" w:rsidDel="00000000" w:rsidP="00000000" w:rsidRDefault="00000000" w:rsidRPr="00000000" w14:paraId="00000040">
      <w:pPr>
        <w:rPr/>
      </w:pPr>
      <w:r w:rsidDel="00000000" w:rsidR="00000000" w:rsidRPr="00000000">
        <w:rPr>
          <w:rtl w:val="0"/>
        </w:rPr>
        <w:t xml:space="preserve">significant interactions with various stakeholders</w:t>
      </w:r>
    </w:p>
    <w:sectPr>
      <w:type w:val="nextPage"/>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hruv Gogna" w:id="0" w:date="2025-10-30T22:19:58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canada.ca/en/public-health/services/reports-publications/health-promotion-chronic-disease-prevention-canada-research-policy-practice/vol-44-no-11-12-2024/temporal-trends-characteristics-fall-related-deaths-hospitalizations-emergency-department-visits-older-adults-canada.html</w:t>
      </w:r>
    </w:p>
  </w:comment>
  <w:comment w:author="Dhruv Gogna" w:id="8" w:date="2025-11-03T18:22:49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 Haneen, and Huiyang Li. “Use of Notification and Communication Technology (Call Light Systems) in Nursing Homes: Observational Study.” Journal of medical Internet research vol. 22,3 e16252. 27 Mar. 2020, doi:10.2196/16252</w:t>
      </w:r>
    </w:p>
  </w:comment>
  <w:comment w:author="Dhruv Gogna" w:id="3" w:date="2025-11-04T14:13:39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https://bmcgeriatr.biomedcentral.com/articles/10.1186/s12877-022-03258-2</w:t>
      </w:r>
    </w:p>
  </w:comment>
  <w:comment w:author="Dhruv Gogna" w:id="1" w:date="2025-10-30T22:18:28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https://pmc.ncbi.nlm.nih.gov/articles/PMC10463813/</w:t>
      </w:r>
    </w:p>
  </w:comment>
  <w:comment w:author="Dhruv Gogna" w:id="9" w:date="2025-11-03T18:23:23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https://pmc.ncbi.nlm.nih.gov/articles/PMC6473316/</w:t>
      </w:r>
    </w:p>
  </w:comment>
  <w:comment w:author="Gavin Katz" w:id="2" w:date="2025-11-04T14:11:46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https://pubmed.ncbi.nlm.nih.gov/37644386/</w:t>
      </w:r>
    </w:p>
  </w:comment>
  <w:comment w:author="Dhruv Gogna" w:id="5" w:date="2025-11-04T14:39:33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Ontario’s privacy guidelines set a high bar for monitoring in private spaces: organizations must prove necessity, show that monitoring is the least intrusive option, and implement safeguards (signage, access controls, retention limits). Bedrooms carry heightened expectations of privacy, and washrooms are generally out-of-bounds for video, meaning many conventional systems can’t be deployed in the exact rooms where unwitnessed falls and long-lie occur</w:t>
      </w:r>
    </w:p>
  </w:comment>
  <w:comment w:author="Dhruv Gogna" w:id="7" w:date="2025-11-03T14:00:32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https://pmc.ncbi.nlm.nih.gov/articles/PMC9969063/</w:t>
      </w:r>
    </w:p>
  </w:comment>
  <w:comment w:author="Dhruv Gogna" w:id="6" w:date="2025-11-03T13:57:31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https://www.ipc.on.ca/sites/default/files/legacy/Resources/2015_Guidelines_Surveillance.pdf</w:t>
      </w:r>
    </w:p>
  </w:comment>
  <w:comment w:author="Dhruv Gogna" w:id="4" w:date="2025-11-02T15:41:38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https://pubmed.ncbi.nlm.nih.gov/39626350/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mc.ncbi.nlm.nih.gov/articles/PMC64733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