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2350"/>
          <w:sz w:val="72"/>
        </w:rPr>
        <w:t>PRACTICESYNC</w:t>
      </w:r>
    </w:p>
    <w:p>
      <w:pPr>
        <w:jc w:val="center"/>
      </w:pPr>
      <w:r>
        <w:rPr>
          <w:color w:val="2563EB"/>
          <w:sz w:val="30"/>
        </w:rPr>
        <w:t>The Operating System for Indian CA Firms</w:t>
      </w:r>
    </w:p>
    <w:p>
      <w:pPr>
        <w:jc w:val="center"/>
      </w:pPr>
      <w:r>
        <w:rPr>
          <w:b/>
          <w:sz w:val="40"/>
        </w:rPr>
        <w:t>DEFINITIVE MASTER REFERENCE</w:t>
      </w:r>
    </w:p>
    <w:p>
      <w:pPr>
        <w:jc w:val="center"/>
      </w:pPr>
      <w:r>
        <w:rPr>
          <w:i/>
          <w:color w:val="475569"/>
          <w:sz w:val="21"/>
        </w:rPr>
        <w:t>The complete, exhaustive record — vision, every requirement, full schema, all flows, integrations, the Practice-OS access model, the build plan, and the delivered as-built state.</w:t>
      </w:r>
    </w:p>
    <w:p>
      <w:pPr>
        <w:jc w:val="center"/>
      </w:pPr>
      <w:r>
        <w:rPr>
          <w:i/>
          <w:color w:val="182350"/>
          <w:sz w:val="24"/>
        </w:rPr>
        <w:t>“A CA who can manage 10 clients must be able to manage 100 — without 10x the complexity.”</w:t>
      </w:r>
    </w:p>
    <w:p>
      <w:pPr>
        <w:jc w:val="center"/>
      </w:pPr>
      <w:r>
        <w:rPr>
          <w:color w:val="475569"/>
          <w:sz w:val="18"/>
        </w:rPr>
        <w:t>Consolidates all 9 design documents (PRD · TRD · App Flow · UI/UX · Backend Schema · Implementation Plan · Integrations · Amendments v1.1 · Practice OS) and reconciles them with the delivered MVP build.</w:t>
        <w:br/>
        <w:t>Version 1.0 — Definitive · June 2026 · MVP build complete · Pilot-ready</w:t>
      </w:r>
    </w:p>
    <w:p>
      <w:r>
        <w:br w:type="page"/>
      </w:r>
    </w:p>
    <w:p>
      <w:pPr>
        <w:pStyle w:val="Heading1"/>
      </w:pPr>
      <w:r>
        <w:t>0. How to Read This Reference</w:t>
      </w:r>
    </w:p>
    <w:p>
      <w:r>
        <w:rPr>
          <w:b w:val="0"/>
          <w:i w:val="0"/>
        </w:rPr>
        <w:t>This is the single, exhaustive source of truth for PracticeSync. It is written so that any reader — engineer, partner, investor, designer, or another AI — can know everything about the product without consulting any other document. It is organised in twelve parts:</w:t>
      </w:r>
    </w:p>
    <w:p>
      <w:pPr>
        <w:pStyle w:val="ListBullet"/>
      </w:pPr>
      <w:r>
        <w:rPr>
          <w:b/>
        </w:rPr>
        <w:t xml:space="preserve">Part I — </w:t>
      </w:r>
      <w:r>
        <w:t>Vision &amp; Strategy (the why, the market, the master principle, personas).</w:t>
      </w:r>
    </w:p>
    <w:p>
      <w:pPr>
        <w:pStyle w:val="ListBullet"/>
      </w:pPr>
      <w:r>
        <w:rPr>
          <w:b/>
        </w:rPr>
        <w:t xml:space="preserve">Part II — </w:t>
      </w:r>
      <w:r>
        <w:t>Functional Requirements in full — Firm Layer, Client Layer, lifecycle, AI/memory/health, integration requirements.</w:t>
      </w:r>
    </w:p>
    <w:p>
      <w:pPr>
        <w:pStyle w:val="ListBullet"/>
      </w:pPr>
      <w:r>
        <w:rPr>
          <w:b/>
        </w:rPr>
        <w:t xml:space="preserve">Part III — </w:t>
      </w:r>
      <w:r>
        <w:t>Amendments v1.1 — Revenue Operations, Firm-as-Internal-Client (+4 guardrails), Knowledge Base.</w:t>
      </w:r>
    </w:p>
    <w:p>
      <w:pPr>
        <w:pStyle w:val="ListBullet"/>
      </w:pPr>
      <w:r>
        <w:rPr>
          <w:b/>
        </w:rPr>
        <w:t xml:space="preserve">Part IV — </w:t>
      </w:r>
      <w:r>
        <w:t>Practice OS / Module 9 — the enterprise access-control &amp; governance design.</w:t>
      </w:r>
    </w:p>
    <w:p>
      <w:pPr>
        <w:pStyle w:val="ListBullet"/>
      </w:pPr>
      <w:r>
        <w:rPr>
          <w:b/>
        </w:rPr>
        <w:t xml:space="preserve">Part V — </w:t>
      </w:r>
      <w:r>
        <w:t>Architecture &amp; Technology (TRD in full), annotated with what was actually built.</w:t>
      </w:r>
    </w:p>
    <w:p>
      <w:pPr>
        <w:pStyle w:val="ListBullet"/>
      </w:pPr>
      <w:r>
        <w:rPr>
          <w:b/>
        </w:rPr>
        <w:t xml:space="preserve">Part VI — </w:t>
      </w:r>
      <w:r>
        <w:t>Backend Schema — conventions, enum registry, every table by domain, the enforcement layer.</w:t>
      </w:r>
    </w:p>
    <w:p>
      <w:pPr>
        <w:pStyle w:val="ListBullet"/>
      </w:pPr>
      <w:r>
        <w:rPr>
          <w:b/>
        </w:rPr>
        <w:t xml:space="preserve">Part VII — </w:t>
      </w:r>
      <w:r>
        <w:t>App Flows &amp; State Models.</w:t>
      </w:r>
    </w:p>
    <w:p>
      <w:pPr>
        <w:pStyle w:val="ListBullet"/>
      </w:pPr>
      <w:r>
        <w:rPr>
          <w:b/>
        </w:rPr>
        <w:t xml:space="preserve">Part VIII — </w:t>
      </w:r>
      <w:r>
        <w:t>UI/UX Design System.</w:t>
      </w:r>
    </w:p>
    <w:p>
      <w:pPr>
        <w:pStyle w:val="ListBullet"/>
      </w:pPr>
      <w:r>
        <w:rPr>
          <w:b/>
        </w:rPr>
        <w:t xml:space="preserve">Part IX — </w:t>
      </w:r>
      <w:r>
        <w:t>Integrations &amp; Compliance API Strategy (rail-by-rail).</w:t>
      </w:r>
    </w:p>
    <w:p>
      <w:pPr>
        <w:pStyle w:val="ListBullet"/>
      </w:pPr>
      <w:r>
        <w:rPr>
          <w:b/>
        </w:rPr>
        <w:t xml:space="preserve">Part X — </w:t>
      </w:r>
      <w:r>
        <w:t>Implementation Plan — phases, milestones, testing, go-live, risk.</w:t>
      </w:r>
    </w:p>
    <w:p>
      <w:pPr>
        <w:pStyle w:val="ListBullet"/>
      </w:pPr>
      <w:r>
        <w:rPr>
          <w:b/>
        </w:rPr>
        <w:t xml:space="preserve">Part XI — </w:t>
      </w:r>
      <w:r>
        <w:t>AS-BUILT STATE — exactly what exists today, the deployed stack, the API/schema/route inventory, divergences from plan, and the current-state matrix.</w:t>
      </w:r>
    </w:p>
    <w:p>
      <w:pPr>
        <w:pStyle w:val="ListBullet"/>
      </w:pPr>
      <w:r>
        <w:rPr>
          <w:b/>
        </w:rPr>
        <w:t xml:space="preserve">Part XII — </w:t>
      </w:r>
      <w:r>
        <w:t>Metrics, risks, glossary, and a pitch-deck appendix.</w:t>
      </w:r>
    </w:p>
    <w:p>
      <w:r>
        <w:rPr>
          <w:b/>
          <w:i w:val="0"/>
        </w:rPr>
        <w:t>Build-status legend: ✅ Built (in the MVP) · 🟡 Partial (scaffolded / core path) · ⛔ Deferred (accommodated, not built).</w:t>
      </w:r>
    </w:p>
    <w:p>
      <w:r>
        <w:br w:type="page"/>
      </w:r>
    </w:p>
    <w:p>
      <w:pPr>
        <w:pStyle w:val="Heading1"/>
      </w:pPr>
      <w:r>
        <w:t>PART I — Vision &amp; Strategy</w:t>
      </w:r>
    </w:p>
    <w:p>
      <w:pPr>
        <w:pStyle w:val="Heading2"/>
      </w:pPr>
      <w:r>
        <w:t>1. Executive Summary</w:t>
      </w:r>
    </w:p>
    <w:p>
      <w:r>
        <w:rPr>
          <w:b w:val="0"/>
          <w:i w:val="0"/>
        </w:rPr>
        <w:t>PracticeSync is the complete operating system for Indian Chartered Accountancy firms. It replaces the disconnected stack a firm runs today — Tally, ClearTax/Winman, Excel, WhatsApp and physical files — with one integrated platform that understands both how the firm runs and how each client’s business runs.</w:t>
      </w:r>
    </w:p>
    <w:p>
      <w:r>
        <w:rPr>
          <w:b w:val="0"/>
          <w:i w:val="0"/>
        </w:rPr>
        <w:t>It is two products in one platform. The Firm Layer delivers cross-client scale (deadlines, work, team, pipeline, health, intelligence). The Client Layer delivers depth at scale (accounting, compliance, payroll, year-end, tax, documents, AI). The structural moat is a compounding, domain-specific client memory that grows richer every year a firm stays on the platform.</w:t>
      </w:r>
    </w:p>
    <w:p>
      <w:r>
        <w:rPr>
          <w:b w:val="0"/>
          <w:i/>
          <w:color w:val="182350"/>
        </w:rPr>
        <w:t>One-line thesis: turn a CA’s scarce professional judgement into the only thing that scales linearly with clients — and let the system absorb everything else: memory, coordination, triage and routine preparation.</w:t>
      </w:r>
    </w:p>
    <w:p>
      <w:pPr>
        <w:pStyle w:val="Heading2"/>
      </w:pPr>
      <w:r>
        <w:t>2. The Master Principle — 10→100</w:t>
      </w:r>
    </w:p>
    <w:p>
      <w:r>
        <w:rPr>
          <w:b/>
          <w:i w:val="0"/>
        </w:rPr>
        <w:t>A Chartered Accountant who can manage 10 clients today must be able to manage 100 clients using PracticeSync without increasing operational complexity by 10x.</w:t>
      </w:r>
    </w:p>
    <w:p>
      <w:r>
        <w:rPr>
          <w:b w:val="0"/>
          <w:i w:val="0"/>
        </w:rPr>
        <w:t>This is not a feature; it is the lens for every decision. If a feature does not help a CA scale from 10 to 100 without proportional effort, it does not belong in the core product. If a design creates work that scales linearly with client count, it must be redesigned. At 10 clients a CA runs on memory, WhatsApp and Excel; at 100 that breaks catastrophically (200–300 compliance events/month, 500 client-years of memory, simultaneous missed deadlines). The CA does not want 10x staff; they want a system that absorbs coordination, memory, triage and routine.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At 10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8"/>
              </w:rPr>
              <w:t>At 100 without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At 100 with PracticeSync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Deadlines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CA remembers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200–300 events/mo — untrackable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Auto-aggregated firm-wide calendar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Triage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Intuition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Open all 100 daily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30-second Critical/At-Risk filter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Coordination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Manual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1,000+ steps/mo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Pipelines + automation; CA reviews key points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Memory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Recalls last year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500 client-years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AI surfaces the right context at the right moment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Documents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By hand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1,000–2,000 docs/mo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AI extracts → draft → CA confirms in ~30s</w:t>
            </w:r>
          </w:p>
        </w:tc>
      </w:tr>
    </w:tbl>
    <w:p/>
    <w:p>
      <w:pPr>
        <w:pStyle w:val="Heading2"/>
      </w:pPr>
      <w:r>
        <w:t>3. Market, Problem &amp; Why Now</w:t>
      </w:r>
    </w:p>
    <w:p>
      <w:r>
        <w:rPr>
          <w:b/>
          <w:i w:val="0"/>
        </w:rPr>
        <w:t>The problem.</w:t>
      </w:r>
    </w:p>
    <w:p>
      <w:pPr>
        <w:pStyle w:val="ListBullet"/>
      </w:pPr>
      <w:r>
        <w:t>Indian CA practices are capacity-bound: headcount, not demand, caps clients served well.</w:t>
      </w:r>
    </w:p>
    <w:p>
      <w:pPr>
        <w:pStyle w:val="ListBullet"/>
      </w:pPr>
      <w:r>
        <w:t>The tool stack is fragmented and non-integrated (accounting/filing/communication/storage have no shared source of truth).</w:t>
      </w:r>
    </w:p>
    <w:p>
      <w:pPr>
        <w:pStyle w:val="ListBullet"/>
      </w:pPr>
      <w:r>
        <w:t>Institutional knowledge lives in individuals; turnover is immediate risk; a new hire takes months to learn a client.</w:t>
      </w:r>
    </w:p>
    <w:p>
      <w:pPr>
        <w:pStyle w:val="ListBullet"/>
      </w:pPr>
      <w:r>
        <w:t>Compliance is high-volume, deadline-dense and penalty-bearing; coordination failures are expensive and reputational.</w:t>
      </w:r>
    </w:p>
    <w:p>
      <w:r>
        <w:rPr>
          <w:b/>
          <w:i w:val="0"/>
        </w:rPr>
        <w:t>Why now.</w:t>
      </w:r>
    </w:p>
    <w:p>
      <w:pPr>
        <w:pStyle w:val="ListBullet"/>
      </w:pPr>
      <w:r>
        <w:t>Government rails increasingly API-accessible via licensed intermediaries (GSP for GST/e-invoice/e-way, ERI for income tax) and consent rails (Account Aggregator; GSTN itself a data provider).</w:t>
      </w:r>
    </w:p>
    <w:p>
      <w:pPr>
        <w:pStyle w:val="ListBullet"/>
      </w:pPr>
      <w:r>
        <w:t>LLM document intelligence has crossed the threshold of reliable structured extraction.</w:t>
      </w:r>
    </w:p>
    <w:p>
      <w:pPr>
        <w:pStyle w:val="ListBullet"/>
      </w:pPr>
      <w:r>
        <w:t>The DPDP Act 2023 makes consent-based, auditable data handling a baseline — favouring a purpose-built platform.</w:t>
      </w:r>
    </w:p>
    <w:p>
      <w:r>
        <w:rPr>
          <w:b/>
          <w:i w:val="0"/>
        </w:rPr>
        <w:t>Competitive positioning &amp; moat.</w:t>
      </w:r>
    </w:p>
    <w:p>
      <w:r>
        <w:rPr>
          <w:b w:val="0"/>
          <w:i w:val="0"/>
        </w:rPr>
        <w:t>Existing tools occupy slices (Tally/Zoho Books; ClearTax/Winman/KDK; Karbon-style work mgmt). None unify the Firm and Client layers with a compounding memory and end-to-end Indian year-end accounts production. The defensible position is the integration plus the memory moat: Year 1 profiles are shallow; by Year 3 the system knows each client’s year-end “DNA”; by Year 5 a new hire inherits years of institutional knowledge on day one. The moat is the structured client memory — not the LLM, which is replaceable behind an interface.</w:t>
      </w:r>
    </w:p>
    <w:p>
      <w:pPr>
        <w:pStyle w:val="Heading2"/>
      </w:pPr>
      <w:r>
        <w:t>4. Target Users &amp; Personas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Persona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8"/>
              </w:rPr>
              <w:t>Primary jobs-to-be-done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Managing Partner / Owner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Runs the firm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Triage risk across all clients in minutes; protect against missed deadlines; manage team capacity, billing, renewals, growth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Partner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Owns client relationships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Review and sign off; assign work; manage portfolio health; client meetings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Manager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Runs client delivery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Coordinate work items; manage staff; communicate with clients; ensure quality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Executive / Article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Executes work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Post entries, prepare returns, complete checklist tasks, upload documents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Reviewer / Auditor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Read-only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Inspect records and trail without modifying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Client (Portal)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The firm’s customer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Upload documents on request, approve, message, see what is pending</w:t>
            </w:r>
          </w:p>
        </w:tc>
      </w:tr>
    </w:tbl>
    <w:p/>
    <w:p>
      <w:r>
        <w:rPr>
          <w:b w:val="0"/>
          <w:i/>
        </w:rPr>
        <w:t>Design implication: the buyer and power user is the Partner/Owner — the Firm Layer must earn trust in the first 30 seconds of the day (Home triage). The client (portal) user is the hardest to retain — hence WhatsApp as a first-class channel.</w:t>
      </w:r>
    </w:p>
    <w:p>
      <w:pPr>
        <w:pStyle w:val="Heading2"/>
      </w:pPr>
      <w:r>
        <w:t>5. Core Principles (Non-Negotiable)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Principle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8"/>
              </w:rPr>
              <w:t>Meaning in product terms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CA confirms, system executes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System prepares/computes/drafts/suggests; the CA reviews and confirms. Every government-portal interaction is gated by an explicit review step. No autonomous submission, ever.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Paise, never float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All money stored as integer paise (bigint), columns suffixed _paise. No float for money.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Journals are immutable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Posted journals never edited/deleted — only reversed by counter-entry. DB-enforced.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Every action is a Timeline event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Append-only institutional memory; soft-delete with audit only.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The Client-OS mental model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Entering a client is a workspace change, not a record view. Consistent structure for every client.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Data sovereignty via RLS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Row-Level Security enforces firm and client isolation at the database as the first line of defence.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Indian standards are defaults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Schedule III, Indian number format, GSTIN/PAN validation, April–March FY, statutory due dates.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AI surfaces, humans decide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Every insight states detection, evidence and recommended action. Never autonomous.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Fewer, better insights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Surface only at high confidence and relevant timing. Crying wolf is worse than silence.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Automation runs compliance, CAs run judgement</w:t>
            </w:r>
          </w:p>
        </w:tc>
        <w:tc>
          <w:tcPr>
            <w:tcW w:type="dxa" w:w="6336"/>
          </w:tcPr>
          <w:p>
            <w:r/>
            <w:r>
              <w:rPr>
                <w:sz w:val="17"/>
              </w:rPr>
              <w:t>Templates/pipelines/automation handle the sequence; the CA applies judgement at decision points.</w:t>
            </w:r>
          </w:p>
        </w:tc>
      </w:tr>
    </w:tbl>
    <w:p/>
    <w:p>
      <w:pPr>
        <w:pStyle w:val="Heading2"/>
      </w:pPr>
      <w:r>
        <w:t>6. Product Scope</w:t>
      </w:r>
    </w:p>
    <w:p>
      <w:r>
        <w:rPr>
          <w:b/>
          <w:i w:val="0"/>
        </w:rPr>
        <w:t>The dual-layer model.</w:t>
      </w:r>
    </w:p>
    <w:p>
      <w:pPr>
        <w:pStyle w:val="ListBullet"/>
      </w:pPr>
      <w:r>
        <w:rPr>
          <w:b/>
        </w:rPr>
        <w:t xml:space="preserve">Firm Layer — </w:t>
      </w:r>
      <w:r>
        <w:t>Home (triage), Clients, Deadlines, Work, Team, AI, Settings — where 10→100 scale is achieved.</w:t>
      </w:r>
    </w:p>
    <w:p>
      <w:pPr>
        <w:pStyle w:val="ListBullet"/>
      </w:pPr>
      <w:r>
        <w:rPr>
          <w:b/>
        </w:rPr>
        <w:t xml:space="preserve">Client Layer — </w:t>
      </w:r>
      <w:r>
        <w:t>Overview (Timeline), Accounting, Compliance, Payroll, Year End, Tax, Documents, Tasks, Reports, Portal, AI Insights — depth at scale. Entering a client is a context switch.</w:t>
      </w:r>
    </w:p>
    <w:p>
      <w:r>
        <w:rPr>
          <w:b/>
          <w:i w:val="0"/>
        </w:rPr>
        <w:t>In scope (v1 frozen core).</w:t>
      </w:r>
    </w:p>
    <w:p>
      <w:pPr>
        <w:pStyle w:val="ListBullet"/>
      </w:pPr>
      <w:r>
        <w:t>Full double-entry accounting on a Schedule III chart of accounts; immutable journals; live statements.</w:t>
      </w:r>
    </w:p>
    <w:p>
      <w:pPr>
        <w:pStyle w:val="ListBullet"/>
      </w:pPr>
      <w:r>
        <w:t>Client-scoped compliance: GST (incl. IMS-aware 2B reconciliation), TDS, MCA/ROC prep, professional tax.</w:t>
      </w:r>
    </w:p>
    <w:p>
      <w:pPr>
        <w:pStyle w:val="ListBullet"/>
      </w:pPr>
      <w:r>
        <w:t>Payroll with auto-posted journals and statutory outputs (PF/ESI/PT, 24Q feed).</w:t>
      </w:r>
    </w:p>
    <w:p>
      <w:pPr>
        <w:pStyle w:val="ListBullet"/>
      </w:pPr>
      <w:r>
        <w:t>End-to-end year-end accounts production (10-phase workflow; auto schedules and notes).</w:t>
      </w:r>
    </w:p>
    <w:p>
      <w:pPr>
        <w:pStyle w:val="ListBullet"/>
      </w:pPr>
      <w:r>
        <w:t>Tax computation, advance tax, ITR prep, notices/assessments register; AIS/TIS and 26AS reconciliation.</w:t>
      </w:r>
    </w:p>
    <w:p>
      <w:pPr>
        <w:pStyle w:val="ListBullet"/>
      </w:pPr>
      <w:r>
        <w:t>Document Intelligence (ingestion→draft; generation with provenance).</w:t>
      </w:r>
    </w:p>
    <w:p>
      <w:pPr>
        <w:pStyle w:val="ListBullet"/>
      </w:pPr>
      <w:r>
        <w:t>Timeline (episodic memory), Health Engine (7-dimension triage), AI memory and trigger engine.</w:t>
      </w:r>
    </w:p>
    <w:p>
      <w:pPr>
        <w:pStyle w:val="ListBullet"/>
      </w:pPr>
      <w:r>
        <w:t>Relationship Intelligence with cross-client entity detection; client lifecycle (lead→exit); work mgmt.</w:t>
      </w:r>
    </w:p>
    <w:p>
      <w:pPr>
        <w:pStyle w:val="ListBullet"/>
      </w:pPr>
      <w:r>
        <w:t>Client Portal (separate auth) + WhatsApp Business API; signing (DSC/eSign) + UDIN; DPDP layer; Tally one-way import; AA-ready ingestion.</w:t>
      </w:r>
    </w:p>
    <w:p>
      <w:pPr>
        <w:pStyle w:val="ListBullet"/>
      </w:pPr>
      <w:r>
        <w:t>v1.1 additions: Revenue Operations &amp; Billing, Firm-as-Internal-Client, Knowledge Base.</w:t>
      </w:r>
    </w:p>
    <w:p>
      <w:r>
        <w:rPr>
          <w:b/>
          <w:i w:val="0"/>
        </w:rPr>
        <w:t>Out of scope (deferred, architecturally accommodated).</w:t>
      </w:r>
    </w:p>
    <w:p>
      <w:pPr>
        <w:pStyle w:val="ListBullet"/>
      </w:pPr>
      <w:r>
        <w:t>Autonomous/direct submission to any government portal (always CA-confirmed; MCA remains portal + DSC).</w:t>
      </w:r>
    </w:p>
    <w:p>
      <w:pPr>
        <w:pStyle w:val="ListBullet"/>
      </w:pPr>
      <w:r>
        <w:t>Live Account Aggregator FIU integration (abstraction built; live pipe phased).</w:t>
      </w:r>
    </w:p>
    <w:p>
      <w:pPr>
        <w:pStyle w:val="ListBullet"/>
      </w:pPr>
      <w:r>
        <w:t>Tally two-way sync; consolidated group accounts; international tax/transfer pricing.</w:t>
      </w:r>
    </w:p>
    <w:p>
      <w:pPr>
        <w:pStyle w:val="ListBullet"/>
      </w:pPr>
      <w:r>
        <w:t>Native firm-side mobile app (portal is mobile-first PWA); multi-currency; multi-country.</w:t>
      </w:r>
    </w:p>
    <w:p>
      <w:pPr>
        <w:pStyle w:val="ListBullet"/>
      </w:pPr>
      <w:r>
        <w:t>Deep practice-profitability analytics (Revenue Intelligence) and the advisory product.</w:t>
      </w:r>
    </w:p>
    <w:p>
      <w:r>
        <w:br w:type="page"/>
      </w:r>
    </w:p>
    <w:p>
      <w:pPr>
        <w:pStyle w:val="Heading1"/>
      </w:pPr>
      <w:r>
        <w:t>PART II — Functional Requirements (Full)</w:t>
      </w:r>
    </w:p>
    <w:p>
      <w:pPr>
        <w:pStyle w:val="Heading2"/>
      </w:pPr>
      <w:r>
        <w:t>7. Firm Layer (FR-F)</w:t>
      </w:r>
    </w:p>
    <w:p>
      <w:pPr>
        <w:pStyle w:val="ListBullet"/>
      </w:pPr>
      <w:r>
        <w:rPr>
          <w:b/>
        </w:rPr>
        <w:t xml:space="preserve">FR-F-01 </w:t>
      </w:r>
      <w:r>
        <w:t>Home surfaces a triage view (not a metrics dashboard): critical/overdue deadlines first, overdue work across all clients, pending portal actions, AI cross-client alerts, team activity, quick actions.</w:t>
      </w:r>
    </w:p>
    <w:p>
      <w:pPr>
        <w:pStyle w:val="ListBullet"/>
      </w:pPr>
      <w:r>
        <w:rPr>
          <w:b/>
        </w:rPr>
        <w:t xml:space="preserve">FR-F-02 </w:t>
      </w:r>
      <w:r>
        <w:t>Every item is a direct deep link to its work surface; design target: act within 30 seconds of arrival.</w:t>
      </w:r>
    </w:p>
    <w:p>
      <w:pPr>
        <w:pStyle w:val="ListBullet"/>
      </w:pPr>
      <w:r>
        <w:rPr>
          <w:b/>
        </w:rPr>
        <w:t xml:space="preserve">FR-F-03 </w:t>
      </w:r>
      <w:r>
        <w:t>Clients list shows name, entity type, GSTIN, lifecycle stage, Health Score + trend, single most-critical open issue, open work-item count.</w:t>
      </w:r>
    </w:p>
    <w:p>
      <w:pPr>
        <w:pStyle w:val="ListBullet"/>
      </w:pPr>
      <w:r>
        <w:rPr>
          <w:b/>
        </w:rPr>
        <w:t xml:space="preserve">FR-F-04 </w:t>
      </w:r>
      <w:r>
        <w:t>Filters: health status, lifecycle stage, entity type, assigned partner, services. Critical/At-Risk is the highest-value control.</w:t>
      </w:r>
    </w:p>
    <w:p>
      <w:pPr>
        <w:pStyle w:val="ListBullet"/>
      </w:pPr>
      <w:r>
        <w:rPr>
          <w:b/>
        </w:rPr>
        <w:t xml:space="preserve">FR-F-05 </w:t>
      </w:r>
      <w:r>
        <w:t>Lifecycle pipeline view (leads→prospects→onboarding→active→dormant) with renewals-due and conversion stats.</w:t>
      </w:r>
    </w:p>
    <w:p>
      <w:pPr>
        <w:pStyle w:val="ListBullet"/>
      </w:pPr>
      <w:r>
        <w:rPr>
          <w:b/>
        </w:rPr>
        <w:t xml:space="preserve">FR-F-06 </w:t>
      </w:r>
      <w:r>
        <w:t>Deadlines aggregate all compliance across all clients and GSTINs; views: calendar, list (default), by client, by type; colour-coded by type.</w:t>
      </w:r>
    </w:p>
    <w:p>
      <w:pPr>
        <w:pStyle w:val="ListBullet"/>
      </w:pPr>
      <w:r>
        <w:rPr>
          <w:b/>
        </w:rPr>
        <w:t xml:space="preserve">FR-F-07 </w:t>
      </w:r>
      <w:r>
        <w:t>Deadline status derived from the compliance module, never set manually; &lt;7 days amber, &lt;3 days red with no active work item.</w:t>
      </w:r>
    </w:p>
    <w:p>
      <w:pPr>
        <w:pStyle w:val="ListBullet"/>
      </w:pPr>
      <w:r>
        <w:rPr>
          <w:b/>
        </w:rPr>
        <w:t xml:space="preserve">FR-F-08 </w:t>
      </w:r>
      <w:r>
        <w:t>Bulk actions: assign, mark filed, send client reminder, create work item.</w:t>
      </w:r>
    </w:p>
    <w:p>
      <w:pPr>
        <w:pStyle w:val="ListBullet"/>
      </w:pPr>
      <w:r>
        <w:rPr>
          <w:b/>
        </w:rPr>
        <w:t xml:space="preserve">FR-F-09 </w:t>
      </w:r>
      <w:r>
        <w:t>Deadline rules sourced from a versioned, dated compliance rule engine; a statutory date change updates all affected clients on a new rule-set version.</w:t>
      </w:r>
    </w:p>
    <w:p>
      <w:pPr>
        <w:pStyle w:val="ListBullet"/>
      </w:pPr>
      <w:r>
        <w:rPr>
          <w:b/>
        </w:rPr>
        <w:t xml:space="preserve">FR-F-10 </w:t>
      </w:r>
      <w:r>
        <w:t>Work item = one deliverable for one client in one period; contains title, client, type, period, due date, assignees, pipeline stage, task checklist, linked documents, internal thread, time log, full status history.</w:t>
      </w:r>
    </w:p>
    <w:p>
      <w:pPr>
        <w:pStyle w:val="ListBullet"/>
      </w:pPr>
      <w:r>
        <w:rPr>
          <w:b/>
        </w:rPr>
        <w:t xml:space="preserve">FR-F-11 </w:t>
      </w:r>
      <w:r>
        <w:t>Pipelines with per-stage automations (e.g. Data Collection → portal document request; Partner Review → 48h SLA; Filed → client confirmation + close deadline).</w:t>
      </w:r>
    </w:p>
    <w:p>
      <w:pPr>
        <w:pStyle w:val="ListBullet"/>
      </w:pPr>
      <w:r>
        <w:rPr>
          <w:b/>
        </w:rPr>
        <w:t xml:space="preserve">FR-F-12 </w:t>
      </w:r>
      <w:r>
        <w:t>Templates per compliance type create a fully configured work item in seconds; views All/My/Team/Kanban/Overdue.</w:t>
      </w:r>
    </w:p>
    <w:p>
      <w:pPr>
        <w:pStyle w:val="ListBullet"/>
      </w:pPr>
      <w:r>
        <w:rPr>
          <w:b/>
        </w:rPr>
        <w:t xml:space="preserve">FR-F-13 </w:t>
      </w:r>
      <w:r>
        <w:t>Team: member directory with roles, assigned clients, last active; workload view (capacity vs throughput) flagged overloaded/comfortable/under-utilised.</w:t>
      </w:r>
    </w:p>
    <w:p>
      <w:pPr>
        <w:pStyle w:val="ListBullet"/>
      </w:pPr>
      <w:r>
        <w:rPr>
          <w:b/>
        </w:rPr>
        <w:t xml:space="preserve">FR-F-14 </w:t>
      </w:r>
      <w:r>
        <w:t>Firm AI: a daily briefing (not a chatbot) surfacing only high-confidence items — client risk, compliance risk, team risk, cross-client patterns, revenue/unbilled intelligence.</w:t>
      </w:r>
    </w:p>
    <w:p>
      <w:pPr>
        <w:pStyle w:val="Heading2"/>
      </w:pPr>
      <w:r>
        <w:t>8. Client Layer (FR-C)</w:t>
      </w:r>
    </w:p>
    <w:p>
      <w:pPr>
        <w:pStyle w:val="ListBullet"/>
      </w:pPr>
      <w:r>
        <w:rPr>
          <w:b/>
        </w:rPr>
        <w:t xml:space="preserve">FR-C-01 </w:t>
      </w:r>
      <w:r>
        <w:t>Clicking a client anywhere executes a context switch: sidebar transforms, client header renders (name, entity badge, GSTIN, FY selector), URL becomes /clients/[id]/[section], with persistent ‘Back to Firm’.</w:t>
      </w:r>
    </w:p>
    <w:p>
      <w:pPr>
        <w:pStyle w:val="ListBullet"/>
      </w:pPr>
      <w:r>
        <w:rPr>
          <w:b/>
        </w:rPr>
        <w:t xml:space="preserve">FR-C-02 </w:t>
      </w:r>
      <w:r>
        <w:t>Context persistence: returning to a client restores the exact section and scroll; the FY selector re-scopes all data.</w:t>
      </w:r>
    </w:p>
    <w:p>
      <w:pPr>
        <w:pStyle w:val="ListBullet"/>
      </w:pPr>
      <w:r>
        <w:rPr>
          <w:b/>
        </w:rPr>
        <w:t xml:space="preserve">FR-C-03 </w:t>
      </w:r>
      <w:r>
        <w:t>Overview is the Timeline: health + quick stats + pinned items + chronological, human-readable feed; understand any client in &lt;60s.</w:t>
      </w:r>
    </w:p>
    <w:p>
      <w:pPr>
        <w:pStyle w:val="ListBullet"/>
      </w:pPr>
      <w:r>
        <w:rPr>
          <w:b/>
        </w:rPr>
        <w:t xml:space="preserve">FR-C-04 </w:t>
      </w:r>
      <w:r>
        <w:t>Schedule III CoA seeded on onboarding; accounts with history cannot be deleted.</w:t>
      </w:r>
    </w:p>
    <w:p>
      <w:pPr>
        <w:pStyle w:val="ListBullet"/>
      </w:pPr>
      <w:r>
        <w:rPr>
          <w:b/>
        </w:rPr>
        <w:t xml:space="preserve">FR-C-05 </w:t>
      </w:r>
      <w:r>
        <w:t>Double-entry guarantee at the service layer: every financial action posts balanced journals.</w:t>
      </w:r>
    </w:p>
    <w:p>
      <w:pPr>
        <w:pStyle w:val="ListBullet"/>
      </w:pPr>
      <w:r>
        <w:rPr>
          <w:b/>
        </w:rPr>
        <w:t xml:space="preserve">FR-C-06 </w:t>
      </w:r>
      <w:r>
        <w:t>Accounting sub-modules: Dashboard, CoA, Banking (import + AI matching + rules), Sales, Purchases (TDS flags), Journal Entries, GL, Fixed Assets (SLM/WDV), Reconciliation (bank, GST 2B, 26AS/AIS, vendor), Financial Reports (live, Schedule III, period comparison, PDF/Excel).</w:t>
      </w:r>
    </w:p>
    <w:p>
      <w:pPr>
        <w:pStyle w:val="ListBullet"/>
      </w:pPr>
      <w:r>
        <w:rPr>
          <w:b/>
        </w:rPr>
        <w:t xml:space="preserve">FR-C-07 </w:t>
      </w:r>
      <w:r>
        <w:t>GST: GSTR-1 (auto from Sales), GSTR-3B (auto from GSTR-1 + 2B + ITC recon), GSTR-9, IMS-aware 2B reconciliation (accept/reject/pending), filing history with ARN/challan/BSR.</w:t>
      </w:r>
    </w:p>
    <w:p>
      <w:pPr>
        <w:pStyle w:val="ListBullet"/>
      </w:pPr>
      <w:r>
        <w:rPr>
          <w:b/>
        </w:rPr>
        <w:t xml:space="preserve">FR-C-08 </w:t>
      </w:r>
      <w:r>
        <w:t>TDS: deductee master, deduction register (24Q/26Q/27Q), challan tracker, return prep, 26AS reconciliation, Form 16/16A.</w:t>
      </w:r>
    </w:p>
    <w:p>
      <w:pPr>
        <w:pStyle w:val="ListBullet"/>
      </w:pPr>
      <w:r>
        <w:rPr>
          <w:b/>
        </w:rPr>
        <w:t xml:space="preserve">FR-C-09 </w:t>
      </w:r>
      <w:r>
        <w:t>MCA/ROC: company master, annual (MGT-7/AOC-4/ADT-1) and event filings (DIR-12/INC-22/SH-7/CHG), DIN, history; prep + XBRL; submission via portal + DSC.</w:t>
      </w:r>
    </w:p>
    <w:p>
      <w:pPr>
        <w:pStyle w:val="ListBullet"/>
      </w:pPr>
      <w:r>
        <w:rPr>
          <w:b/>
        </w:rPr>
        <w:t xml:space="preserve">FR-C-10 </w:t>
      </w:r>
      <w:r>
        <w:t>Every computation cites its statutory section; every government action carries the CA-review gate.</w:t>
      </w:r>
    </w:p>
    <w:p>
      <w:pPr>
        <w:pStyle w:val="ListBullet"/>
      </w:pPr>
      <w:r>
        <w:rPr>
          <w:b/>
        </w:rPr>
        <w:t xml:space="preserve">FR-C-11 </w:t>
      </w:r>
      <w:r>
        <w:t>Payroll: employees, salary structures (PF 12% of basic ≤ ceiling, ESI ≤ ₹21,000 gross, state PT slabs), runs (draft→review→finalise), payslips, ECR/ESI/PT outputs, auto-journals, 24Q feed.</w:t>
      </w:r>
    </w:p>
    <w:p>
      <w:pPr>
        <w:pStyle w:val="ListBullet"/>
      </w:pPr>
      <w:r>
        <w:rPr>
          <w:b/>
        </w:rPr>
        <w:t xml:space="preserve">FR-C-12 </w:t>
      </w:r>
      <w:r>
        <w:t>Year-end: 10-phase workflow, auto-triggered 3 months before FY end.</w:t>
      </w:r>
    </w:p>
    <w:p>
      <w:pPr>
        <w:pStyle w:val="ListBullet"/>
      </w:pPr>
      <w:r>
        <w:rPr>
          <w:b/>
        </w:rPr>
        <w:t xml:space="preserve">FR-C-13 </w:t>
      </w:r>
      <w:r>
        <w:t>Auto-generated schedules (FA, debtors, creditors, loans, related party) and Notes to Accounts, CA-editable; Schedule III statements to PDF.</w:t>
      </w:r>
    </w:p>
    <w:p>
      <w:pPr>
        <w:pStyle w:val="ListBullet"/>
      </w:pPr>
      <w:r>
        <w:rPr>
          <w:b/>
        </w:rPr>
        <w:t xml:space="preserve">FR-C-14 </w:t>
      </w:r>
      <w:r>
        <w:t>Tax: computation (disallowances with sections, Chapter VI-A, b/f losses), advance-tax tracker with AI reminders, ITR prep (CA-confirmed), notices and assessments registers.</w:t>
      </w:r>
    </w:p>
    <w:p>
      <w:pPr>
        <w:pStyle w:val="ListBullet"/>
      </w:pPr>
      <w:r>
        <w:rPr>
          <w:b/>
        </w:rPr>
        <w:t xml:space="preserve">FR-C-15 </w:t>
      </w:r>
      <w:r>
        <w:t>Documents: inbox, extracted records, generated documents (staleness on source-data change).</w:t>
      </w:r>
    </w:p>
    <w:p>
      <w:pPr>
        <w:pStyle w:val="ListBullet"/>
      </w:pPr>
      <w:r>
        <w:rPr>
          <w:b/>
        </w:rPr>
        <w:t xml:space="preserve">FR-C-16 </w:t>
      </w:r>
      <w:r>
        <w:t>Tasks: client-specific tasks and internal notes; Reports: all financial/compliance reports live from ledger data.</w:t>
      </w:r>
    </w:p>
    <w:p>
      <w:pPr>
        <w:pStyle w:val="ListBullet"/>
      </w:pPr>
      <w:r>
        <w:rPr>
          <w:b/>
        </w:rPr>
        <w:t xml:space="preserve">FR-C-17 </w:t>
      </w:r>
      <w:r>
        <w:t>Portal: document requests + upload, approvals, secure messaging, client task list, organiser; all activity to the Timeline; WhatsApp mirrors requests/reminders/approvals.</w:t>
      </w:r>
    </w:p>
    <w:p>
      <w:pPr>
        <w:pStyle w:val="ListBullet"/>
      </w:pPr>
      <w:r>
        <w:rPr>
          <w:b/>
        </w:rPr>
        <w:t xml:space="preserve">FR-C-18 </w:t>
      </w:r>
      <w:r>
        <w:t>AI Insights: client-specific feed with evidence and recommended action; act/dismiss/suppress per type; clients never see the Health Score.</w:t>
      </w:r>
    </w:p>
    <w:p>
      <w:pPr>
        <w:pStyle w:val="Heading2"/>
      </w:pPr>
      <w:r>
        <w:t>9. Client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7776"/>
          </w:tcPr>
          <w:p>
            <w:r/>
            <w:r>
              <w:rPr>
                <w:b/>
                <w:sz w:val="18"/>
              </w:rPr>
              <w:t>Key requirements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Lead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Lightweight CRM: source, referral, services of interest, estimated fee, assigned partner, status; interaction log.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Prospect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Proposal from template; fee carries forward to billing on conversion; one-click conversion seeds onboarding.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Onboarding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10-step managed workflow with completion tracking + ownership; go-live blocked until mandatory steps complete.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Active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Recurring cycles auto-created from pipeline templates (monthly GST, quarterly TDS/advance tax, annual year-end/ITR/MCA).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Year End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Parallel 10-phase workflow with phase tracking visible firm-wide.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Renewal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Trigger at T-60; AI renewal summary (work done, hours vs fee, health trend, recommended fee); letter + e-sign; follow-ups.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Dormant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Compliance reminders continue; work/automation/billing pause; auto-detect 90-day inactivity.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Exit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Structured offboarding: outstanding work, auto handover package, portal deactivation, retention-compliant archival, final billing.</w:t>
            </w:r>
          </w:p>
        </w:tc>
      </w:tr>
    </w:tbl>
    <w:p/>
    <w:p>
      <w:pPr>
        <w:pStyle w:val="Heading2"/>
      </w:pPr>
      <w:r>
        <w:t>10. AI, Memory &amp; Health (FR-AI)</w:t>
      </w:r>
    </w:p>
    <w:p>
      <w:pPr>
        <w:pStyle w:val="ListBullet"/>
      </w:pPr>
      <w:r>
        <w:rPr>
          <w:b/>
        </w:rPr>
        <w:t xml:space="preserve">FR-AI-01 </w:t>
      </w:r>
      <w:r>
        <w:t>Episodic: the append-only Timeline is the raw material of intelligence.</w:t>
      </w:r>
    </w:p>
    <w:p>
      <w:pPr>
        <w:pStyle w:val="ListBullet"/>
      </w:pPr>
      <w:r>
        <w:rPr>
          <w:b/>
        </w:rPr>
        <w:t xml:space="preserve">FR-AI-02 </w:t>
      </w:r>
      <w:r>
        <w:t>Semantic: nightly computation produces per-client and per-firm JSONB profiles (behavioural, compliance history, financial patterns, recurring issues, year-end patterns); annual snapshots retained.</w:t>
      </w:r>
    </w:p>
    <w:p>
      <w:pPr>
        <w:pStyle w:val="ListBullet"/>
      </w:pPr>
      <w:r>
        <w:rPr>
          <w:b/>
        </w:rPr>
        <w:t xml:space="preserve">FR-AI-03 </w:t>
      </w:r>
      <w:r>
        <w:t>Predictive: a trigger engine fires when conditions become true (repeat-issue, deadline-at-risk, cash-flow advance warning, year-end readiness, statistical anomaly).</w:t>
      </w:r>
    </w:p>
    <w:p>
      <w:pPr>
        <w:pStyle w:val="ListBullet"/>
      </w:pPr>
      <w:r>
        <w:rPr>
          <w:b/>
        </w:rPr>
        <w:t xml:space="preserve">FR-AI-04 </w:t>
      </w:r>
      <w:r>
        <w:t>Health: seven dimensions — Compliance 25%, Accounting 20%, Work 15%, Documents 15%, AI Risk 10%, Notices 10%, Responsiveness 5% — composite + per-dimension diagnosis.</w:t>
      </w:r>
    </w:p>
    <w:p>
      <w:pPr>
        <w:pStyle w:val="ListBullet"/>
      </w:pPr>
      <w:r>
        <w:rPr>
          <w:b/>
        </w:rPr>
        <w:t xml:space="preserve">FR-AI-05 </w:t>
      </w:r>
      <w:r>
        <w:t>Hard overrides force Critical regardless of composite (missed notice deadline, GSTR-3B &gt;2 months overdue, 2+ missed advance-tax instalments).</w:t>
      </w:r>
    </w:p>
    <w:p>
      <w:pPr>
        <w:pStyle w:val="ListBullet"/>
      </w:pPr>
      <w:r>
        <w:rPr>
          <w:b/>
        </w:rPr>
        <w:t xml:space="preserve">FR-AI-06 </w:t>
      </w:r>
      <w:r>
        <w:t>Daily computation with 7-day trend; reads from source data (ungameable); never shown to clients; informs but never replaces judgement.</w:t>
      </w:r>
    </w:p>
    <w:p>
      <w:pPr>
        <w:pStyle w:val="Heading2"/>
      </w:pPr>
      <w:r>
        <w:t>11. Integration &amp; Compliance Requirements (FR-INT)</w:t>
      </w:r>
    </w:p>
    <w:p>
      <w:pPr>
        <w:pStyle w:val="ListBullet"/>
      </w:pPr>
      <w:r>
        <w:rPr>
          <w:b/>
        </w:rPr>
        <w:t xml:space="preserve">FR-INT-01 </w:t>
      </w:r>
      <w:r>
        <w:t>GST/e-invoice/e-way via a licensed GSP (PracticeSync as ASP). All filing CA-confirmed.</w:t>
      </w:r>
    </w:p>
    <w:p>
      <w:pPr>
        <w:pStyle w:val="ListBullet"/>
      </w:pPr>
      <w:r>
        <w:rPr>
          <w:b/>
        </w:rPr>
        <w:t xml:space="preserve">FR-INT-02 </w:t>
      </w:r>
      <w:r>
        <w:t>Income tax via the ERI (Type-2) regime, using consent + taxpayer-OTP; never store taxpayer portal passwords.</w:t>
      </w:r>
    </w:p>
    <w:p>
      <w:pPr>
        <w:pStyle w:val="ListBullet"/>
      </w:pPr>
      <w:r>
        <w:rPr>
          <w:b/>
        </w:rPr>
        <w:t xml:space="preserve">FR-INT-03 </w:t>
      </w:r>
      <w:r>
        <w:t>MCA: prepare and XBRL-tag; submission is portal + DSC (no open filing API assumed).</w:t>
      </w:r>
    </w:p>
    <w:p>
      <w:pPr>
        <w:pStyle w:val="ListBullet"/>
      </w:pPr>
      <w:r>
        <w:rPr>
          <w:b/>
        </w:rPr>
        <w:t xml:space="preserve">FR-INT-04 </w:t>
      </w:r>
      <w:r>
        <w:t>Banking and GST ingestion behind an abstraction so Account Aggregator slots in without rework.</w:t>
      </w:r>
    </w:p>
    <w:p>
      <w:pPr>
        <w:pStyle w:val="ListBullet"/>
      </w:pPr>
      <w:r>
        <w:rPr>
          <w:b/>
        </w:rPr>
        <w:t xml:space="preserve">FR-INT-05 </w:t>
      </w:r>
      <w:r>
        <w:t>Signing: Aadhaar eSign for non-DSC-mandated documents; DSC orchestration for statutory filings.</w:t>
      </w:r>
    </w:p>
    <w:p>
      <w:pPr>
        <w:pStyle w:val="ListBullet"/>
      </w:pPr>
      <w:r>
        <w:rPr>
          <w:b/>
        </w:rPr>
        <w:t xml:space="preserve">FR-INT-06 </w:t>
      </w:r>
      <w:r>
        <w:t>UDIN generation/tracking integrated into attestation and certificate workflows.</w:t>
      </w:r>
    </w:p>
    <w:p>
      <w:pPr>
        <w:pStyle w:val="ListBullet"/>
      </w:pPr>
      <w:r>
        <w:rPr>
          <w:b/>
        </w:rPr>
        <w:t xml:space="preserve">FR-INT-07 </w:t>
      </w:r>
      <w:r>
        <w:t>WhatsApp Business API as a client channel mirrored to portal and Timeline.</w:t>
      </w:r>
    </w:p>
    <w:p>
      <w:pPr>
        <w:pStyle w:val="ListBullet"/>
      </w:pPr>
      <w:r>
        <w:rPr>
          <w:b/>
        </w:rPr>
        <w:t xml:space="preserve">FR-INT-08 </w:t>
      </w:r>
      <w:r>
        <w:t>Tally one-way import for migration and ongoing books ingestion.</w:t>
      </w:r>
    </w:p>
    <w:p>
      <w:r>
        <w:br w:type="page"/>
      </w:r>
    </w:p>
    <w:p>
      <w:pPr>
        <w:pStyle w:val="Heading1"/>
      </w:pPr>
      <w:r>
        <w:t>PART III — Amendments v1.1 (Revenue, Knowledge, Firm-as-Internal-Client)</w:t>
      </w:r>
    </w:p>
    <w:p>
      <w:r>
        <w:rPr>
          <w:b w:val="0"/>
          <w:i/>
        </w:rPr>
        <w:t>Additive only — nothing frozen is rewritten or removed. Net footprint: 4 column additions, 5 new tables, reuse of existing sales/receipts/credit-note tables, one new implementation phase (10B), clearly-scoped deferrals.</w:t>
      </w:r>
    </w:p>
    <w:p>
      <w:pPr>
        <w:pStyle w:val="Heading2"/>
      </w:pPr>
      <w:r>
        <w:t>12. Firm-as-Internal-Client (FR-FIC) + Guardrails</w:t>
      </w:r>
    </w:p>
    <w:p>
      <w:pPr>
        <w:pStyle w:val="ListBullet"/>
      </w:pPr>
      <w:r>
        <w:rPr>
          <w:b/>
        </w:rPr>
        <w:t xml:space="preserve">FR-FIC-01 </w:t>
      </w:r>
      <w:r>
        <w:t>The firm is one client row with is_internal=true, referenced by firms.internal_client_id; reuses the client workspace, accounting, GST/TDS, documents, Timeline, reports.</w:t>
      </w:r>
    </w:p>
    <w:p>
      <w:pPr>
        <w:pStyle w:val="ListBullet"/>
      </w:pPr>
      <w:r>
        <w:rPr>
          <w:b/>
        </w:rPr>
        <w:t xml:space="preserve">FR-FIC-02 </w:t>
      </w:r>
      <w:r>
        <w:t>Excluded from every client-population surface (count, Clients list, Health triage, client-facing Deadlines); reachable only via a dedicated ‘Practice’ entry.</w:t>
      </w:r>
    </w:p>
    <w:p>
      <w:pPr>
        <w:pStyle w:val="ListBullet"/>
      </w:pPr>
      <w:r>
        <w:rPr>
          <w:b/>
        </w:rPr>
        <w:t xml:space="preserve">FR-FIC-03 </w:t>
      </w:r>
      <w:r>
        <w:t>Access restricted to Owner/Partner; staff/Manager/Reviewer cannot be assigned or read its financials.</w:t>
      </w:r>
    </w:p>
    <w:p>
      <w:pPr>
        <w:pStyle w:val="ListBullet"/>
      </w:pPr>
      <w:r>
        <w:rPr>
          <w:b/>
        </w:rPr>
        <w:t xml:space="preserve">FR-FIC-04 </w:t>
      </w:r>
      <w:r>
        <w:t>Gets accounting + GST + TDS + documents + reports + billing only — no firm payroll/HR/ERP.</w:t>
      </w:r>
    </w:p>
    <w:p>
      <w:pPr>
        <w:pStyle w:val="ListBullet"/>
      </w:pPr>
      <w:r>
        <w:rPr>
          <w:b/>
        </w:rPr>
        <w:t xml:space="preserve">FR-FIC-05 </w:t>
      </w:r>
      <w:r>
        <w:t>Each practice client may link to one customer record in the internal client’s books (no duplicate entity).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Guardrail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18"/>
              </w:rPr>
              <w:t>Mechanism (as designed &amp; built)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G1 — Partner-only access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RLS on the internal client’s rows additionally requires role IN (owner,partner); assignment to the internal client disallowed at the API; staff sessions cannot read its financial tables.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G2 — Excluded from aggregates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Every client-population query filters WHERE is_internal=false via a shared predicate/view (clients_external); Health computation skips is_internal.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G3 — Single linked customer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client_firm_customer_links maps a practice client to one customer row in the internal client’s books; no duplicate entity.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G4 — Capped reuse (no ERP)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Internal client provisioned with accounting + GST + TDS + documents + reports + billing only; payroll/HR provisioning blocked for is_internal=true.</w:t>
            </w:r>
          </w:p>
        </w:tc>
      </w:tr>
    </w:tbl>
    <w:p/>
    <w:p>
      <w:pPr>
        <w:pStyle w:val="Heading2"/>
      </w:pPr>
      <w:r>
        <w:t>13. Revenue Operations (FR-REV) — CORE</w:t>
      </w:r>
    </w:p>
    <w:p>
      <w:pPr>
        <w:pStyle w:val="ListBullet"/>
      </w:pPr>
      <w:r>
        <w:rPr>
          <w:b/>
        </w:rPr>
        <w:t xml:space="preserve">FR-REV-01 </w:t>
      </w:r>
      <w:r>
        <w:t>Billing arrangements per engagement: recurring retainer, one-time, or service package (from service_catalogue).</w:t>
      </w:r>
    </w:p>
    <w:p>
      <w:pPr>
        <w:pStyle w:val="ListBullet"/>
      </w:pPr>
      <w:r>
        <w:rPr>
          <w:b/>
        </w:rPr>
        <w:t xml:space="preserve">FR-REV-02 </w:t>
      </w:r>
      <w:r>
        <w:t>Billing schedules auto-generate invoices on cadence as sales invoices in the internal client’s books (reusing Sales + GST). CA-confirm gate before despatch.</w:t>
      </w:r>
    </w:p>
    <w:p>
      <w:pPr>
        <w:pStyle w:val="ListBullet"/>
      </w:pPr>
      <w:r>
        <w:rPr>
          <w:b/>
        </w:rPr>
        <w:t xml:space="preserve">FR-REV-03 </w:t>
      </w:r>
      <w:r>
        <w:t>GST on professional fees applied automatically; TDS deducted by clients recorded as a receivable, reconcilable against the firm’s 26AS/AIS.</w:t>
      </w:r>
    </w:p>
    <w:p>
      <w:pPr>
        <w:pStyle w:val="ListBullet"/>
      </w:pPr>
      <w:r>
        <w:rPr>
          <w:b/>
        </w:rPr>
        <w:t xml:space="preserve">FR-REV-04 </w:t>
      </w:r>
      <w:r>
        <w:t>Collections: invoice lifecycle (raised→sent→part-paid→paid→overdue) from receipts; AR aging buckets (0–30/31–60/61–90/&gt;90).</w:t>
      </w:r>
    </w:p>
    <w:p>
      <w:pPr>
        <w:pStyle w:val="ListBullet"/>
      </w:pPr>
      <w:r>
        <w:rPr>
          <w:b/>
        </w:rPr>
        <w:t xml:space="preserve">FR-REV-05 </w:t>
      </w:r>
      <w:r>
        <w:t>Automated reminders via notification + portal + WhatsApp; every reminder/receipt writes a Timeline event on the internal client.</w:t>
      </w:r>
    </w:p>
    <w:p>
      <w:pPr>
        <w:pStyle w:val="ListBullet"/>
      </w:pPr>
      <w:r>
        <w:rPr>
          <w:b/>
        </w:rPr>
        <w:t xml:space="preserve">FR-REV-06 </w:t>
      </w:r>
      <w:r>
        <w:t>Receipts reuse sales_receipts; credit notes reuse the existing mechanism.</w:t>
      </w:r>
    </w:p>
    <w:p>
      <w:pPr>
        <w:pStyle w:val="ListBullet"/>
      </w:pPr>
      <w:r>
        <w:rPr>
          <w:b/>
        </w:rPr>
        <w:t xml:space="preserve">FR-REV-07 </w:t>
      </w:r>
      <w:r>
        <w:t>Time entries carry a billable flag + optional rate → an ‘unbilled work’ view per client/work item.</w:t>
      </w:r>
    </w:p>
    <w:p>
      <w:pPr>
        <w:pStyle w:val="ListBullet"/>
      </w:pPr>
      <w:r>
        <w:rPr>
          <w:b/>
        </w:rPr>
        <w:t xml:space="preserve">FR-REV-08 </w:t>
      </w:r>
      <w:r>
        <w:t>Firm-level Collections/AR view aggregates receivables for Owner/Partner (subject to G1).</w:t>
      </w:r>
    </w:p>
    <w:p>
      <w:pPr>
        <w:pStyle w:val="Heading2"/>
      </w:pPr>
      <w:r>
        <w:t>14. Knowledge Base (FR-KB) — CORE (lightweight)</w:t>
      </w:r>
    </w:p>
    <w:p>
      <w:pPr>
        <w:pStyle w:val="ListBullet"/>
      </w:pPr>
      <w:r>
        <w:rPr>
          <w:b/>
        </w:rPr>
        <w:t xml:space="preserve">FR-KB-01 </w:t>
      </w:r>
      <w:r>
        <w:t>Versioned repository of firm/department SOPs, checklists, policies (firm-wide or per department).</w:t>
      </w:r>
    </w:p>
    <w:p>
      <w:pPr>
        <w:pStyle w:val="ListBullet"/>
      </w:pPr>
      <w:r>
        <w:rPr>
          <w:b/>
        </w:rPr>
        <w:t xml:space="preserve">FR-KB-02 </w:t>
      </w:r>
      <w:r>
        <w:t>Client-specific standing instructions, pinned to a client and surfaced inside its workspace.</w:t>
      </w:r>
    </w:p>
    <w:p>
      <w:pPr>
        <w:pStyle w:val="ListBullet"/>
      </w:pPr>
      <w:r>
        <w:rPr>
          <w:b/>
        </w:rPr>
        <w:t xml:space="preserve">FR-KB-03 </w:t>
      </w:r>
      <w:r>
        <w:t>Full-text search; articles link to/from the Timeline.</w:t>
      </w:r>
    </w:p>
    <w:p>
      <w:pPr>
        <w:pStyle w:val="ListBullet"/>
      </w:pPr>
      <w:r>
        <w:rPr>
          <w:b/>
        </w:rPr>
        <w:t xml:space="preserve">FR-KB-04 </w:t>
      </w:r>
      <w:r>
        <w:t>Version history per article (who/what/when); operational, not a general wiki.</w:t>
      </w:r>
    </w:p>
    <w:p>
      <w:pPr>
        <w:pStyle w:val="Heading2"/>
      </w:pPr>
      <w:r>
        <w:t>15. Revenue Intelligence (FR-RI) — DEFERRED (Phase 13+)</w:t>
      </w:r>
    </w:p>
    <w:p>
      <w:pPr>
        <w:pStyle w:val="ListBullet"/>
      </w:pPr>
      <w:r>
        <w:t>Client/service-line/partner-portfolio profitability; effective hourly realization; recovery rate &amp; DSO; revenue forecasting; underpriced-client detection &amp; fee recommendations; opt-in, anonymised cross-firm benchmarking (no cross-tenant model training on client data).</w:t>
      </w:r>
    </w:p>
    <w:p>
      <w:pPr>
        <w:pStyle w:val="Heading2"/>
      </w:pPr>
      <w:r>
        <w:t>16. Schema additions (v1.1)</w:t>
      </w:r>
    </w:p>
    <w:p>
      <w:pPr>
        <w:ind w:left="216"/>
      </w:pPr>
      <w:r>
        <w:rPr>
          <w:rFonts w:ascii="Consolas" w:hAnsi="Consolas"/>
          <w:color w:val="0F172A"/>
          <w:sz w:val="16"/>
        </w:rPr>
        <w:t>clients      ADD is_internal boolean not null default false</w:t>
        <w:br/>
        <w:t>firms        ADD internal_client_id uuid null references clients(id)</w:t>
        <w:br/>
        <w:t>firm_users   ADD cost_rate_paise bigint null</w:t>
        <w:br/>
        <w:t>time_logs    ADD is_billable boolean not null default true, billable_rate_paise bigint null</w:t>
        <w:br/>
        <w:t>NEW: billing_schedules, client_firm_customer_links, knowledge_articles,</w:t>
        <w:br/>
        <w:t xml:space="preserve">     knowledge_article_versions, client_instructions</w:t>
        <w:br/>
        <w:t>REUSE: sales_invoices/sales_receipts/credit-notes for firm invoicing &amp; collections</w:t>
      </w:r>
    </w:p>
    <w:p>
      <w:r>
        <w:br w:type="page"/>
      </w:r>
    </w:p>
    <w:p>
      <w:pPr>
        <w:pStyle w:val="Heading1"/>
      </w:pPr>
      <w:r>
        <w:t>PART IV — Practice OS (Module 9): Enterprise Access Control &amp; Governance</w:t>
      </w:r>
    </w:p>
    <w:p>
      <w:r>
        <w:rPr>
          <w:b w:val="0"/>
          <w:i/>
        </w:rPr>
        <w:t>Strategic verdict: Module 9 is not a set of features — it is a security boundary retrofit (≈60% plumbing touching every endpoint). The differentiator for an Indian CA-firm OS is provable confidentiality (client AND internal). Treat it as ‘re-found the platform on enforced authorization,’ keep roles small (power from assignment + classification, not a long role list), classify aggregates not just rows, and never store/show passwords (View-As, not Login-As).</w:t>
      </w:r>
    </w:p>
    <w:p>
      <w:pPr>
        <w:pStyle w:val="Heading2"/>
      </w:pPr>
      <w:r>
        <w:t>17. Role Architecture</w:t>
      </w:r>
    </w:p>
    <w:p>
      <w:r>
        <w:rPr>
          <w:b w:val="0"/>
          <w:i w:val="0"/>
        </w:rPr>
        <w:t>Power is driven by role × assignment × classification — not a long role enum. Final model (as built): five capability tiers — Partner &gt; Manager &gt; Executive &gt; Reviewer &gt; Client — with HR ‘designation’ kept as a free-form display attribute, never a permission input. This resolves the earlier frontend/backend role mismatch.</w:t>
      </w:r>
    </w:p>
    <w:p>
      <w:pPr>
        <w:pStyle w:val="Heading2"/>
      </w:pPr>
      <w:r>
        <w:t>18. Assignment Architecture (ABAC)</w:t>
      </w:r>
    </w:p>
    <w:p>
      <w:pPr>
        <w:pStyle w:val="ListBullet"/>
      </w:pPr>
      <w:r>
        <w:t>Model User → (Team) → Client; effective access = union of direct user→client and user→team→client.</w:t>
      </w:r>
    </w:p>
    <w:p>
      <w:pPr>
        <w:pStyle w:val="ListBullet"/>
      </w:pPr>
      <w:r>
        <w:t>Partner is firm-wide; Manager/Executive/Reviewer/Client are restricted to assigned clients.</w:t>
      </w:r>
    </w:p>
    <w:p>
      <w:pPr>
        <w:pStyle w:val="ListBullet"/>
      </w:pPr>
      <w:r>
        <w:t>Manager delegation is bounded: a Manager may assign only clients within their own book (enforced server-side AND in RLS).</w:t>
      </w:r>
    </w:p>
    <w:p>
      <w:pPr>
        <w:pStyle w:val="ListBullet"/>
      </w:pPr>
      <w:r>
        <w:t>Temporary assignment (valid_from/valid_until) and access-request → approval flows are accommodated.</w:t>
      </w:r>
    </w:p>
    <w:p>
      <w:pPr>
        <w:pStyle w:val="ListBullet"/>
      </w:pPr>
      <w:r>
        <w:t>Inheritance is opt-in per assignment, never implicit (avoids silent over-provisioning).</w:t>
      </w:r>
    </w:p>
    <w:p>
      <w:pPr>
        <w:pStyle w:val="Heading2"/>
      </w:pPr>
      <w:r>
        <w:t>19. Authorization Framework (deny-by-default, every request)</w:t>
      </w:r>
    </w:p>
    <w:p>
      <w:pPr>
        <w:pStyle w:val="ListNumber"/>
      </w:pPr>
      <w:r>
        <w:t>AuthN — valid JWT → identity (user_id, firm_id, role).</w:t>
      </w:r>
    </w:p>
    <w:p>
      <w:pPr>
        <w:pStyle w:val="ListNumber"/>
      </w:pPr>
      <w:r>
        <w:t>Tenant — resource.firm_id == user.firm_id (Layer 0).</w:t>
      </w:r>
    </w:p>
    <w:p>
      <w:pPr>
        <w:pStyle w:val="ListNumber"/>
      </w:pPr>
      <w:r>
        <w:t>RBAC — role permits the action on the resource type (PERMISSIONS matrix).</w:t>
      </w:r>
    </w:p>
    <w:p>
      <w:pPr>
        <w:pStyle w:val="ListNumber"/>
      </w:pPr>
      <w:r>
        <w:t>Classification — role_tier ≥ resource.classification (aggregates classified at API/report level, not just rows).</w:t>
      </w:r>
    </w:p>
    <w:p>
      <w:pPr>
        <w:pStyle w:val="ListNumber"/>
      </w:pPr>
      <w:r>
        <w:t>ABAC/assignment — user assigned to the resource’s client/team scope (direct or via team, time-valid).</w:t>
      </w:r>
    </w:p>
    <w:p>
      <w:pPr>
        <w:pStyle w:val="ListNumber"/>
      </w:pPr>
      <w:r>
        <w:t>Step-up — sensitive actions require fresh MFA. Failure on existence-revealing checks returns 404, not 403.</w:t>
      </w:r>
    </w:p>
    <w:p>
      <w:r>
        <w:rPr>
          <w:b w:val="0"/>
          <w:i w:val="0"/>
        </w:rPr>
        <w:t>Enforcement points (server-authoritative, defence in depth): DB RLS (the floor; per-user JWT context so RLS applies) · a central can(user, action, resource, scope) policy module every router calls · API rbac() dependencies · UI gating is UX only, never trusted.</w:t>
      </w:r>
    </w:p>
    <w:p>
      <w:pPr>
        <w:pStyle w:val="Heading2"/>
      </w:pPr>
      <w:r>
        <w:t>20. Data Security, Oversight &amp; Governance</w:t>
      </w:r>
    </w:p>
    <w:p>
      <w:pPr>
        <w:pStyle w:val="ListBullet"/>
      </w:pPr>
      <w:r>
        <w:rPr>
          <w:b/>
        </w:rPr>
        <w:t xml:space="preserve">Search/notification/AI-context security — </w:t>
      </w:r>
      <w:r>
        <w:t>filter by the user’s effective authorized client set before querying; the copilot injects only assignment-authorized context (no firm-wide RAG leak).</w:t>
      </w:r>
    </w:p>
    <w:p>
      <w:pPr>
        <w:pStyle w:val="ListBullet"/>
      </w:pPr>
      <w:r>
        <w:rPr>
          <w:b/>
        </w:rPr>
        <w:t xml:space="preserve">Audit — </w:t>
      </w:r>
      <w:r>
        <w:t>expand to cover sensitive reads, permission changes, impersonation, exports; append-only, tamper-evident.</w:t>
      </w:r>
    </w:p>
    <w:p>
      <w:pPr>
        <w:pStyle w:val="ListBullet"/>
      </w:pPr>
      <w:r>
        <w:rPr>
          <w:b/>
        </w:rPr>
        <w:t xml:space="preserve">Oversight — </w:t>
      </w:r>
      <w:r>
        <w:t>login history, active sessions, force-logout, suspend, and View-As (server-side, time-boxed, read-only, MFA + reason + audit + visible banner) — never Login-As / credential visibility.</w:t>
      </w:r>
    </w:p>
    <w:p>
      <w:pPr>
        <w:pStyle w:val="ListBullet"/>
      </w:pPr>
      <w:r>
        <w:rPr>
          <w:b/>
        </w:rPr>
        <w:t xml:space="preserve">Governance — </w:t>
      </w:r>
      <w:r>
        <w:t>maker-checker approvals for a small high-value set (user creation, permission/role changes, COA add/edit/delete, client reassignment) — not routine work.</w:t>
      </w:r>
    </w:p>
    <w:p>
      <w:pPr>
        <w:pStyle w:val="Heading2"/>
      </w:pPr>
      <w:r>
        <w:t>21. Module 9 Delivery Roadmap (as designed)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  <w:sz w:val="18"/>
              </w:rPr>
              <w:t>Sub-phase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8"/>
              </w:rPr>
              <w:t>Scope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9.0 Authorization Foundation (prerequisite)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Unify roles; enforce RLS via per-user JWT; central can() engine; deny-by-default + 404 enumeration; fix security advisors; permission test harness; expand audit.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9.1 Identity Foundation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User lifecycle (invite→activate→suspend); sessions/force-logout; login history; MFA + step-up.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9.2 Authorization &amp; Assignments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Teams, team→client assignment, bounded Manager delegation, temporary/expiring access, access requests.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9.3 Team Management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Hierarchy, allocation, workload/capacity, team KPIs.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9.4 Governance &amp; Approvals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Maker-checker for the small sensitive set.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9.5 Firm Analytics (Layer 1)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Revenue/profitability/capacity dashboards (read-only consumers).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7"/>
              </w:rPr>
              <w:t>9.6 Enterprise Controls</w:t>
            </w:r>
          </w:p>
        </w:tc>
        <w:tc>
          <w:tcPr>
            <w:tcW w:type="dxa" w:w="6048"/>
          </w:tcPr>
          <w:p>
            <w:r/>
            <w:r>
              <w:rPr>
                <w:sz w:val="17"/>
              </w:rPr>
              <w:t>View-As, advanced oversight, tamper-evident audit, SaaS seat/subscription management.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V — Architecture &amp; Technology</w:t>
      </w:r>
    </w:p>
    <w:p>
      <w:pPr>
        <w:pStyle w:val="Heading2"/>
      </w:pPr>
      <w:r>
        <w:t>22. Architecture Overview</w:t>
      </w:r>
    </w:p>
    <w:p>
      <w:r>
        <w:rPr>
          <w:b w:val="0"/>
          <w:i w:val="0"/>
        </w:rPr>
        <w:t>Multi-tenant SaaS; a tenant is a CA firm. All data scoped by firm_id; client data further scoped by client_id. Two logical layers (Firm and Client) over one shared backend — a presentation/authorisation concern, not separate datastores. Platform services (Timeline, Document Intelligence, Health, AI Memory, Trigger Engine, Rule Engine, Notifications) are consumed by every module. An Integration Gateway isolates all government/third-party rails behind internal interfaces so providers can be swapped.</w:t>
      </w:r>
    </w:p>
    <w:p>
      <w:pPr>
        <w:pStyle w:val="Heading2"/>
      </w:pPr>
      <w:r>
        <w:t>23. Technology Stack (planned vs as-built)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8"/>
              </w:rPr>
              <w:t>As built (delivered)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8"/>
              </w:rPr>
              <w:t>Notes / vs plan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Frontend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Next.js 14 (App Router) + TypeScript + Tailwind + shadcn/ui on Cloudflare Pages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Matches plan (modern SPA; portal mobile-first PWA).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Backend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FastAPI (Python 3.11) on Render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Plan imagined a TypeScript service layer; delivered in Python. All hard invariants preserved.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Database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PostgreSQL via Supabase + RLS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Matches plan; 182 tables; 89 forward-only migrations (001→087).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Auth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Supabase Auth (firm) + separate portal audience + MFA (TOTP)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Matches plan; aal2 enforced for sensitive roles (flag-gated).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AI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Groq (llama-3.3-70b) behind a provider interface; tiered rules + LLM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LLM replaceable; masking/region controls for governance.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Storage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Supabase Storage (encrypted)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Matches plan.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Jobs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Scheduled workers (ENABLE_SCHEDULER)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Health, profiles, deadline arithmetic, lifecycle triggers.</w:t>
            </w:r>
          </w:p>
        </w:tc>
      </w:tr>
    </w:tbl>
    <w:p/>
    <w:p>
      <w:pPr>
        <w:pStyle w:val="Heading2"/>
      </w:pPr>
      <w:r>
        <w:t>24. Architectural Principles (Hard Constraints)</w:t>
      </w:r>
    </w:p>
    <w:p>
      <w:pPr>
        <w:pStyle w:val="ListBullet"/>
      </w:pPr>
      <w:r>
        <w:t>Firm isolation via RLS (first line); application logic second. An app bug cannot leak cross-firm data.</w:t>
      </w:r>
    </w:p>
    <w:p>
      <w:pPr>
        <w:pStyle w:val="ListBullet"/>
      </w:pPr>
      <w:r>
        <w:t>Client scoping: every financial record carries client_id; cross-client aggregation joins through firm→client.</w:t>
      </w:r>
    </w:p>
    <w:p>
      <w:pPr>
        <w:pStyle w:val="ListBullet"/>
      </w:pPr>
      <w:r>
        <w:t>Paise always: bigint integer paise, suffixed _paise. No numeric/decimal/float for money anywhere.</w:t>
      </w:r>
    </w:p>
    <w:p>
      <w:pPr>
        <w:pStyle w:val="ListBullet"/>
      </w:pPr>
      <w:r>
        <w:t>Append-only audit; immutable financial records (posted journals, filed returns, finalised payroll runs).</w:t>
      </w:r>
    </w:p>
    <w:p>
      <w:pPr>
        <w:pStyle w:val="ListBullet"/>
      </w:pPr>
      <w:r>
        <w:t>Period control: every financial transaction tied to a period (open/closed/locked); DB-level constraint blocks locked-period writes.</w:t>
      </w:r>
    </w:p>
    <w:p>
      <w:pPr>
        <w:pStyle w:val="ListBullet"/>
      </w:pPr>
      <w:r>
        <w:t>Denormalise for display, normalise for integrity (actor_name/client_name written at creation as a read cache).</w:t>
      </w:r>
    </w:p>
    <w:p>
      <w:pPr>
        <w:pStyle w:val="ListBullet"/>
      </w:pPr>
      <w:r>
        <w:t>CA-confirm gate: every government-rail call passes an explicit confirmation — a first-class part of the integration contract.</w:t>
      </w:r>
    </w:p>
    <w:p>
      <w:pPr>
        <w:pStyle w:val="Heading2"/>
      </w:pPr>
      <w:r>
        <w:t>25. Platform Services</w:t>
      </w:r>
    </w:p>
    <w:p>
      <w:pPr>
        <w:pStyle w:val="ListBullet"/>
      </w:pPr>
      <w:r>
        <w:rPr>
          <w:b/>
        </w:rPr>
        <w:t xml:space="preserve">Timeline Service — </w:t>
      </w:r>
      <w:r>
        <w:t>single append-only writer consumed by all modules; human-readable events with category/severity/actor/amount/action link/source ref; soft-delete only; full-text + faceted query; PDF export.</w:t>
      </w:r>
    </w:p>
    <w:p>
      <w:pPr>
        <w:pStyle w:val="ListBullet"/>
      </w:pPr>
      <w:r>
        <w:rPr>
          <w:b/>
        </w:rPr>
        <w:t xml:space="preserve">Document Intelligence — </w:t>
      </w:r>
      <w:r>
        <w:t>upload → format detection → OCR (scanned) → classification (+ client/period match, SHA-256 dedupe) → typed extraction with per-field confidence → draft → mandatory CA review → Timeline. Tier-1 rules/templates near-zero cost; Tier-2 LLM only on miss; cached by content hash; generation stores source_data_hash and marks artefacts stale on change.</w:t>
      </w:r>
    </w:p>
    <w:p>
      <w:pPr>
        <w:pStyle w:val="ListBullet"/>
      </w:pPr>
      <w:r>
        <w:rPr>
          <w:b/>
        </w:rPr>
        <w:t xml:space="preserve">Health Engine — </w:t>
      </w:r>
      <w:r>
        <w:t>daily batch computes seven dimensions from source data, weighted composite, hard overrides, 7-day trend; writes a history snapshot.</w:t>
      </w:r>
    </w:p>
    <w:p>
      <w:pPr>
        <w:pStyle w:val="ListBullet"/>
      </w:pPr>
      <w:r>
        <w:rPr>
          <w:b/>
        </w:rPr>
        <w:t xml:space="preserve">AI Memory + Trigger Engine — </w:t>
      </w:r>
      <w:r>
        <w:t>nightly semantic profiles (client/firm) to JSONB; trigger engine evaluates predictive conditions and fires insights with evidence + recommended action; firings/responses logged to calibrate.</w:t>
      </w:r>
    </w:p>
    <w:p>
      <w:pPr>
        <w:pStyle w:val="ListBullet"/>
      </w:pPr>
      <w:r>
        <w:rPr>
          <w:b/>
        </w:rPr>
        <w:t xml:space="preserve">Signing Service — </w:t>
      </w:r>
      <w:r>
        <w:t>abstraction over Aadhaar eSign + DSC orchestration; signing requests, status, batch sessions, signed-artefact archival to the Timeline.</w:t>
      </w:r>
    </w:p>
    <w:p>
      <w:pPr>
        <w:pStyle w:val="ListBullet"/>
      </w:pPr>
      <w:r>
        <w:rPr>
          <w:b/>
        </w:rPr>
        <w:t xml:space="preserve">Compliance Rule Engine — </w:t>
      </w:r>
      <w:r>
        <w:t>versioned, dated dataset mapping entity-type + services → obligations + due-date logic; a statutory change produces a new rule-set version applied to all affected clients with an audit.</w:t>
      </w:r>
    </w:p>
    <w:p>
      <w:pPr>
        <w:pStyle w:val="ListBullet"/>
      </w:pPr>
      <w:r>
        <w:rPr>
          <w:b/>
        </w:rPr>
        <w:t xml:space="preserve">Notification &amp; WhatsApp — </w:t>
      </w:r>
      <w:r>
        <w:t>unified service driving in-app, email, portal and WhatsApp; outbound + inbound mirrored to portal and Timeline.</w:t>
      </w:r>
    </w:p>
    <w:p>
      <w:pPr>
        <w:pStyle w:val="Heading2"/>
      </w:pPr>
      <w:r>
        <w:t>26. API Design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Aspect</w:t>
            </w:r>
          </w:p>
        </w:tc>
        <w:tc>
          <w:tcPr>
            <w:tcW w:type="dxa" w:w="7488"/>
          </w:tcPr>
          <w:p>
            <w:r/>
            <w:r>
              <w:rPr>
                <w:b/>
                <w:sz w:val="18"/>
              </w:rPr>
              <w:t>Standard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Style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REST over HTTPS; resource-oriented; firm/client scope from the authenticated session, not the URL alone.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Auth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Short-lived tokens carrying firm_id + role; portal tokens a separate audience, never reach firm endpoints.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Authorisation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RLS at the DB + role/assignment checks at the API on every request; UI hiding is cosmetic.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Idempotency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All integration- and money-affecting POSTs accept an idempotency key; safe to retry.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Pagination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Cursor-based for large collections (deadlines, timeline, transactions).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Errors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Structured codes; provider codes mapped to internal codes.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Audit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Every state-changing call is attributable and, where significant, writes a Timeline event.</w:t>
            </w:r>
          </w:p>
        </w:tc>
      </w:tr>
    </w:tbl>
    <w:p/>
    <w:p>
      <w:pPr>
        <w:pStyle w:val="Heading2"/>
      </w:pPr>
      <w:r>
        <w:t>27. AI Architecture</w:t>
      </w:r>
    </w:p>
    <w:p>
      <w:pPr>
        <w:pStyle w:val="ListBullet"/>
      </w:pPr>
      <w:r>
        <w:t>Three layers: episodic (Timeline) → semantic (nightly JSONB profiles) → predictive (trigger engine).</w:t>
      </w:r>
    </w:p>
    <w:p>
      <w:pPr>
        <w:pStyle w:val="ListBullet"/>
      </w:pPr>
      <w:r>
        <w:t>Tiered extraction: Tier-1 rules/templates near-zero cost; Tier-2 LLM only on Tier-1 miss; cached by content hash.</w:t>
      </w:r>
    </w:p>
    <w:p>
      <w:pPr>
        <w:pStyle w:val="ListBullet"/>
      </w:pPr>
      <w:r>
        <w:t>Data governance: mask/redact sensitive identifiers before inference, or India-region/self-hosted; provider configurable per firm.</w:t>
      </w:r>
    </w:p>
    <w:p>
      <w:pPr>
        <w:pStyle w:val="ListBullet"/>
      </w:pPr>
      <w:r>
        <w:t>Insight discipline: fire only at high confidence + relevant timing; act/dismiss/suppress; no autonomous action. The moat is the compounding memory, not the LLM (replaceable behind an interface).</w:t>
      </w:r>
    </w:p>
    <w:p>
      <w:pPr>
        <w:pStyle w:val="Heading2"/>
      </w:pPr>
      <w:r>
        <w:t>28. Security &amp; Privacy, Jobs, Reliability, Performance</w:t>
      </w:r>
    </w:p>
    <w:p>
      <w:pPr>
        <w:pStyle w:val="ListBullet"/>
      </w:pPr>
      <w:r>
        <w:rPr>
          <w:b/>
        </w:rPr>
        <w:t xml:space="preserve">Identity &amp; access — </w:t>
      </w:r>
      <w:r>
        <w:t>five least-privilege roles; staff access requires explicit assignment; portal is a separate audience; firm users can view a simulated portal but never assume a client session.</w:t>
      </w:r>
    </w:p>
    <w:p>
      <w:pPr>
        <w:pStyle w:val="ListBullet"/>
      </w:pPr>
      <w:r>
        <w:rPr>
          <w:b/>
        </w:rPr>
        <w:t xml:space="preserve">Data protection — </w:t>
      </w:r>
      <w:r>
        <w:t>encryption in transit + at rest; documents encrypted; secrets in a managed store; per-firm key separation where warranted.</w:t>
      </w:r>
    </w:p>
    <w:p>
      <w:pPr>
        <w:pStyle w:val="ListBullet"/>
      </w:pPr>
      <w:r>
        <w:rPr>
          <w:b/>
        </w:rPr>
        <w:t xml:space="preserve">DPDP — </w:t>
      </w:r>
      <w:r>
        <w:t>consent records (esp. portal/AA), data-principal rights (access/correction/erasure), breach-notification, retention engine, Aadhaar masked (last-4) only.</w:t>
      </w:r>
    </w:p>
    <w:p>
      <w:pPr>
        <w:pStyle w:val="ListBullet"/>
      </w:pPr>
      <w:r>
        <w:rPr>
          <w:b/>
        </w:rPr>
        <w:t xml:space="preserve">Residency — </w:t>
      </w:r>
      <w:r>
        <w:t>primary data in the configured (India) region; no client financial document leaves the boundary for inference without masking or an approved in-region path.</w:t>
      </w:r>
    </w:p>
    <w:p>
      <w:pPr>
        <w:pStyle w:val="ListBullet"/>
      </w:pPr>
      <w:r>
        <w:rPr>
          <w:b/>
        </w:rPr>
        <w:t xml:space="preserve">Background jobs — </w:t>
      </w:r>
      <w:r>
        <w:t>health (daily), semantic profiles (nightly), deadline arithmetic (daily), trigger evaluation (event + sweep), integration polling, document staleness, retention sweep, lifecycle triggers (year-end T-90, renewal T-60, dormancy 90 days).</w:t>
      </w:r>
    </w:p>
    <w:p>
      <w:pPr>
        <w:pStyle w:val="ListBullet"/>
      </w:pPr>
      <w:r>
        <w:rPr>
          <w:b/>
        </w:rPr>
        <w:t xml:space="preserve">Reliability/DR — </w:t>
      </w:r>
      <w:r>
        <w:t>structured logging/metrics/tracing; idempotent money/filing writes; dead-letter handling; backups + PITR; restore drills; tenant export; graceful degradation per rail.</w:t>
      </w:r>
    </w:p>
    <w:p>
      <w:pPr>
        <w:pStyle w:val="ListBullet"/>
      </w:pPr>
      <w:r>
        <w:rPr>
          <w:b/>
        </w:rPr>
        <w:t xml:space="preserve">Performance — </w:t>
      </w:r>
      <w:r>
        <w:t>target 100 active clients × 5+ years; firm-wide screens render without per-client page loads via indexed denormalised fields + cursor pagination; reports cached and invalidated on posting.</w:t>
      </w:r>
    </w:p>
    <w:p>
      <w:pPr>
        <w:pStyle w:val="Heading2"/>
      </w:pPr>
      <w:r>
        <w:t>29. Non-Functional Acceptance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NFR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8"/>
              </w:rPr>
              <w:t>Acceptance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Isolation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Cross-firm and unauthorised cross-client access impossible at the DB (RLS negative tests pass).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Financial correctness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No float in money paths; every journal balances; no write succeeds against a locked period.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Triage performance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Home + Critical/At-Risk filter sub-second on the 100-client fixture.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Auditability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Any client’s full history reconstructs from the Timeline; financial records immutable.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CA-confirm gate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No code path submits to a government rail without explicit, logged confirmation.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DPDP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Consent, rights, retention, Aadhaar-masking present and tested.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Resilience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A simulated GSP/ERI/AA outage degrades only that rail; preparation continues.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VI — Backend Schema (Full)</w:t>
      </w:r>
    </w:p>
    <w:p>
      <w:pPr>
        <w:pStyle w:val="Heading2"/>
      </w:pPr>
      <w:r>
        <w:t>30. Conventions &amp; Design Rules</w:t>
      </w:r>
    </w:p>
    <w:p>
      <w:pPr>
        <w:pStyle w:val="ListBullet"/>
      </w:pPr>
      <w:r>
        <w:t>UUID primary keys (default gen_random_uuid()).</w:t>
      </w:r>
    </w:p>
    <w:p>
      <w:pPr>
        <w:pStyle w:val="ListBullet"/>
      </w:pPr>
      <w:r>
        <w:t>Scoping: every table carries firm_id; every financial/client record also client_id. Both RLS-enforced.</w:t>
      </w:r>
    </w:p>
    <w:p>
      <w:pPr>
        <w:pStyle w:val="ListBullet"/>
      </w:pPr>
      <w:r>
        <w:t>Money: bigint integer paise, suffixed _paise. No numeric/decimal/float for money, ever.</w:t>
      </w:r>
    </w:p>
    <w:p>
      <w:pPr>
        <w:pStyle w:val="ListBullet"/>
      </w:pPr>
      <w:r>
        <w:t>Audit columns implied on every table: created_at, updated_at, created_by; deleted_at/deleted_by where soft-delete applies.</w:t>
      </w:r>
    </w:p>
    <w:p>
      <w:pPr>
        <w:pStyle w:val="ListBullet"/>
      </w:pPr>
      <w:r>
        <w:t>Immutability: posted journals, filed returns, finalised payroll, append-only logs reject UPDATE/DELETE via triggers; corrections are reversals.</w:t>
      </w:r>
    </w:p>
    <w:p>
      <w:pPr>
        <w:pStyle w:val="ListBullet"/>
      </w:pPr>
      <w:r>
        <w:t>Periods: financial writes reference a period whose state (open/closed/locked) is checked by constraint/trigger.</w:t>
      </w:r>
    </w:p>
    <w:p>
      <w:pPr>
        <w:pStyle w:val="ListBullet"/>
      </w:pPr>
      <w:r>
        <w:t>Denormalised display fields (actor_name, client_name) written at creation as a read cache.</w:t>
      </w:r>
    </w:p>
    <w:p>
      <w:pPr>
        <w:pStyle w:val="Heading2"/>
      </w:pPr>
      <w:r>
        <w:t>31. Enum / Type Registry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Enum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18"/>
              </w:rPr>
              <w:t>Values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entity_type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individual | proprietorship | partnership | llp | pvt_ltd | public_ltd | huf | trust | aop | society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lifecycle_stage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lead | prospect | onboarding | active | dormant | exited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user_role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owner | partner | manager | staff | viewer  (as-built unified: Partner | Manager | Executive | Reviewer | Client)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period_state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open | closed | locked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event_category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accounting | compliance | payroll | tax | document | work | ai | portal | team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event_severity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info | success | warning | critical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actor_type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user | system | ai | client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event_visibility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all | internal | partner_only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work_status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not_started | in_progress | partner_review | filed | completed | overdue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deadline_status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not_started | in_progress | filed | overdue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deadline_type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gst | tds | mca | income_tax | advance_tax | payroll | custom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relationship_type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director | shareholder | partner | karta | trustee | beneficiary | related_party | guarantor | borrower | lender | auditor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doc_classification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invoice | bill | bank_statement | payroll_sheet | notice | financial_statement | trial_balance | certificate | correspondence | unknown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signature_type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aadhaar_esign | dsc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consent_status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requested | active | paused | revoked | expired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ims_action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accept | reject | pending | no_action</w:t>
            </w:r>
          </w:p>
        </w:tc>
      </w:tr>
    </w:tbl>
    <w:p/>
    <w:p>
      <w:pPr>
        <w:pStyle w:val="Heading2"/>
      </w:pPr>
      <w:r>
        <w:t>32. Tables by Domain</w:t>
      </w:r>
    </w:p>
    <w:p>
      <w:r>
        <w:rPr>
          <w:b/>
          <w:i w:val="0"/>
        </w:rPr>
        <w:t>Firm, Users &amp; Access</w:t>
      </w:r>
    </w:p>
    <w:p>
      <w:pPr>
        <w:ind w:left="216"/>
      </w:pPr>
      <w:r>
        <w:rPr>
          <w:rFonts w:ascii="Consolas" w:hAnsi="Consolas"/>
          <w:color w:val="0F172A"/>
          <w:sz w:val="16"/>
        </w:rPr>
        <w:t>firms(id pk, name, registration_no, address jsonb, settings jsonb, default_fy_start_month int default 4,</w:t>
        <w:br/>
        <w:t xml:space="preserve">      internal_client_id uuid)</w:t>
        <w:br/>
        <w:t>users(id pk = supabase auth uid, name, email, phone)</w:t>
        <w:br/>
        <w:t>firm_users(id pk, firm_id, user_id, role user_role, is_active bool, cost_rate_paise bigint)</w:t>
        <w:br/>
        <w:t>firm_users_clients(id pk, firm_id, user_id, client_id)  -- staff&lt;-&gt;client assignment; gates RLS</w:t>
        <w:br/>
        <w:t>service_catalogue(id pk, firm_id, name, default_fee_paise bigint, billing_cycle)</w:t>
      </w:r>
    </w:p>
    <w:p>
      <w:r>
        <w:rPr>
          <w:b/>
          <w:i w:val="0"/>
        </w:rPr>
        <w:t>Work Management &amp; Pipelines</w:t>
      </w:r>
    </w:p>
    <w:p>
      <w:pPr>
        <w:ind w:left="216"/>
      </w:pPr>
      <w:r>
        <w:rPr>
          <w:rFonts w:ascii="Consolas" w:hAnsi="Consolas"/>
          <w:color w:val="0F172A"/>
          <w:sz w:val="16"/>
        </w:rPr>
        <w:t>pipeline_templates / pipeline_stages / pipeline_automations(stage_id, trigger_event, action_type, action_config jsonb)</w:t>
        <w:br/>
        <w:t>work_items(id pk, firm_id, client_id, title, type, period, due_date, pipeline_id, current_stage_id, status, client_name)</w:t>
        <w:br/>
        <w:t>work_item_tasks / work_item_assignees / work_item_events(append-only) / time_logs(minutes, is_billable, billable_rate_paise)</w:t>
      </w:r>
    </w:p>
    <w:p>
      <w:r>
        <w:rPr>
          <w:b/>
          <w:i w:val="0"/>
        </w:rPr>
        <w:t>Client Management &amp; Lifecycle</w:t>
      </w:r>
    </w:p>
    <w:p>
      <w:pPr>
        <w:ind w:left="216"/>
      </w:pPr>
      <w:r>
        <w:rPr>
          <w:rFonts w:ascii="Consolas" w:hAnsi="Consolas"/>
          <w:color w:val="0F172A"/>
          <w:sz w:val="16"/>
        </w:rPr>
        <w:t>clients(id pk, firm_id, legal_name, entity_type, lifecycle_stage, pan, cin, llpin, registration_date,</w:t>
        <w:br/>
        <w:t xml:space="preserve">        address jsonb, industry, fy_start_month int default 4, partner_in_charge, services text[], is_internal bool default false)</w:t>
        <w:br/>
        <w:t>leads / lead_interactions / engagement_letters / onboarding_checklists</w:t>
      </w:r>
    </w:p>
    <w:p>
      <w:r>
        <w:rPr>
          <w:b/>
          <w:i w:val="0"/>
        </w:rPr>
        <w:t>Accounting</w:t>
      </w:r>
    </w:p>
    <w:p>
      <w:pPr>
        <w:ind w:left="216"/>
      </w:pPr>
      <w:r>
        <w:rPr>
          <w:rFonts w:ascii="Consolas" w:hAnsi="Consolas"/>
          <w:color w:val="0F172A"/>
          <w:sz w:val="16"/>
        </w:rPr>
        <w:t>chart_of_accounts(code, name, account_group, parent_id, is_archived)  -- accounts with history cannot be deleted</w:t>
        <w:br/>
        <w:t>accounting_periods(financial_year, period, state period_state)</w:t>
        <w:br/>
        <w:t>journal_entries(entry_date, narration, fy, period, is_reversal, reverses_entry_id)  -- IMMUTABLE (trigger)</w:t>
        <w:br/>
        <w:t>journal_lines(journal_entry_id, account_id, debit_paise, credit_paise)  -- sum(debit)=sum(credit) per entry</w:t>
      </w:r>
    </w:p>
    <w:p>
      <w:r>
        <w:rPr>
          <w:b/>
          <w:i w:val="0"/>
        </w:rPr>
        <w:t>Banking, Sales &amp; Purchases</w:t>
      </w:r>
    </w:p>
    <w:p>
      <w:pPr>
        <w:ind w:left="216"/>
      </w:pPr>
      <w:r>
        <w:rPr>
          <w:rFonts w:ascii="Consolas" w:hAnsi="Consolas"/>
          <w:color w:val="0F172A"/>
          <w:sz w:val="16"/>
        </w:rPr>
        <w:t>bank_accounts / bank_transactions(ingest_source: manual|doc_intel|account_aggregator) / bank_rules</w:t>
        <w:br/>
        <w:t>customers / vendors(tds_applicable, tds_section)</w:t>
        <w:br/>
        <w:t>sales_invoices(taxable/igst/cgst/sgst/cess/total _paise, journal_entry_id, einvoice_irn) / sales_invoice_lines / sales_receipts</w:t>
        <w:br/>
        <w:t>purchase_invoices(itc_eligible, tds_section, tds_paise) / purchase_invoice_lines / purchase_payments</w:t>
        <w:br/>
        <w:t>fixed_assets(cost_paise, method, rate) / asset_depreciation(opening/dep/closing _wdv_paise)</w:t>
      </w:r>
    </w:p>
    <w:p>
      <w:r>
        <w:rPr>
          <w:b/>
          <w:i w:val="0"/>
        </w:rPr>
        <w:t>Compliance — GST (IMS-aware), TDS, MCA</w:t>
      </w:r>
    </w:p>
    <w:p>
      <w:pPr>
        <w:ind w:left="216"/>
      </w:pPr>
      <w:r>
        <w:rPr>
          <w:rFonts w:ascii="Consolas" w:hAnsi="Consolas"/>
          <w:color w:val="0F172A"/>
          <w:sz w:val="16"/>
        </w:rPr>
        <w:t>gstin_registrations(multi-GSTIN) / gstr1_data(arn) / gstr3b_data(arn, challan_bsr) / gstr2b_data</w:t>
        <w:br/>
        <w:t>gst_ims_actions(ims_action, matched_purchase_id) / gst_recon(books vs 2B itc, mismatch)</w:t>
        <w:br/>
        <w:t>tds_deductions / tds_challans(bsr_code) / tds_returns(token_no)</w:t>
        <w:br/>
        <w:t>mca_filings(form_code, srn, filed_externally, ack_document_id) / statutory_notices(response_due, work_item_id)</w:t>
      </w:r>
    </w:p>
    <w:p>
      <w:r>
        <w:rPr>
          <w:b/>
          <w:i w:val="0"/>
        </w:rPr>
        <w:t>Tax · Payroll · Year-End</w:t>
      </w:r>
    </w:p>
    <w:p>
      <w:pPr>
        <w:ind w:left="216"/>
      </w:pPr>
      <w:r>
        <w:rPr>
          <w:rFonts w:ascii="Consolas" w:hAnsi="Consolas"/>
          <w:color w:val="0F172A"/>
          <w:sz w:val="16"/>
        </w:rPr>
        <w:t>tax_computations(disallowances jsonb, deductions jsonb) / advance_tax_payments / itr_records(via ERI) / tax_assessments / ais_tis_data</w:t>
        <w:br/>
        <w:t>employees(pan, aadhaar_masked, uan, esi_ip_no, bank_account_masked) / salary_structures / payroll_runs(IMMUTABLE once finalised) / payroll_run_lines / payroll_challans</w:t>
        <w:br/>
        <w:t>year_end_periods(current_phase, tb_locked) / year_end_adjustments / account_schedules(is_stale) / notes_to_accounts</w:t>
      </w:r>
    </w:p>
    <w:p>
      <w:r>
        <w:rPr>
          <w:b/>
          <w:i w:val="0"/>
        </w:rPr>
        <w:t>Documents · Timeline · Relationships · Health · AI Memory · Portal</w:t>
      </w:r>
    </w:p>
    <w:p>
      <w:pPr>
        <w:ind w:left="216"/>
      </w:pPr>
      <w:r>
        <w:rPr>
          <w:rFonts w:ascii="Consolas" w:hAnsi="Consolas"/>
          <w:color w:val="0F172A"/>
          <w:sz w:val="16"/>
        </w:rPr>
        <w:t>documents(classification, sha256, is_duplicate) / document_extractions(confidence) / document_actions(append-only) / generated_documents(source_data_hash, is_stale)</w:t>
        <w:br/>
        <w:t>client_timeline_events(category, severity, title, action_url, actor_*, amount_paise, is_pinned, visibility)  -- APPEND-ONLY</w:t>
        <w:br/>
        <w:t>entities(pan, din, cin, llpin, gstin[]) / entity_relationships / entity_to_entity_relationships(ownership_pct) / cross_client_entity_links / loans(s.185/186) / properties</w:t>
        <w:br/>
        <w:t>health_score_history(7 dims + composite + trend_7d) / health_overrides</w:t>
        <w:br/>
        <w:t>client_profiles(jsonb) / client_profile_history / firm_profiles / ai_triggers / ai_trigger_firings(append-only) / ai_insights(suppressed)</w:t>
        <w:br/>
        <w:t>portal_users(SEPARATE audience) / portal_tasks / portal_document_requests / portal_messages(channel: portal|whatsapp) / portal_approvals</w:t>
      </w:r>
    </w:p>
    <w:p>
      <w:r>
        <w:rPr>
          <w:b/>
          <w:i w:val="0"/>
        </w:rPr>
        <w:t>Frozen-core additions (§21–26) + v1.1</w:t>
      </w:r>
    </w:p>
    <w:p>
      <w:pPr>
        <w:ind w:left="216"/>
      </w:pPr>
      <w:r>
        <w:rPr>
          <w:rFonts w:ascii="Consolas" w:hAnsi="Consolas"/>
          <w:color w:val="0F172A"/>
          <w:sz w:val="16"/>
        </w:rPr>
        <w:t>signatures / signing_batches / udin_records</w:t>
        <w:br/>
        <w:t>consents / data_rights_requests / retention_policies(GST 5y, Companies Act 8y, IT 6y) / breach_log</w:t>
        <w:br/>
        <w:t>aa_consents / aa_data_fetches(ReBIT JSON -&gt; bank_transactions)</w:t>
        <w:br/>
        <w:t>messaging_threads / messaging_messages</w:t>
        <w:br/>
        <w:t>tally_imports / tally_import_rows(staged-&gt;mapped-&gt;draft-&gt;CA confirm)</w:t>
        <w:br/>
        <w:t>compliance_rulesets(versioned) / compliance_rules / client_obligations(feeds Deadlines)</w:t>
        <w:br/>
        <w:t>billing_schedules / client_firm_customer_links / knowledge_articles / knowledge_article_versions / client_instructions</w:t>
      </w:r>
    </w:p>
    <w:p>
      <w:pPr>
        <w:pStyle w:val="Heading2"/>
      </w:pPr>
      <w:r>
        <w:t>33. Enforcement Layer</w:t>
      </w:r>
    </w:p>
    <w:p>
      <w:pPr>
        <w:ind w:left="216"/>
      </w:pPr>
      <w:r>
        <w:rPr>
          <w:rFonts w:ascii="Consolas" w:hAnsi="Consolas"/>
          <w:color w:val="0F172A"/>
          <w:sz w:val="16"/>
        </w:rPr>
        <w:t>-- firm-scoped tables</w:t>
        <w:br/>
        <w:t>USING (firm_id = (auth.jwt() -&gt;&gt; 'firm_id')::uuid)</w:t>
        <w:br/>
        <w:br/>
        <w:t>-- client-scoped financial tables additionally require assignment</w:t>
        <w:br/>
        <w:t>USING (firm_id = (auth.jwt()-&gt;&gt;'firm_id')::uuid AND EXISTS (</w:t>
        <w:br/>
        <w:t xml:space="preserve">  SELECT 1 FROM firm_users_clients f WHERE f.user_id=auth.uid() AND f.client_id=&lt;table&gt;.client_id))</w:t>
        <w:br/>
        <w:br/>
        <w:t>-- internal client: external clients use assignment; internal requires role IN (owner,partner)</w:t>
      </w:r>
    </w:p>
    <w:p>
      <w:pPr>
        <w:pStyle w:val="ListBullet"/>
      </w:pPr>
      <w:r>
        <w:t>BEFORE UPDATE/DELETE triggers on journals, filed returns, finalised payroll and append-only logs raise an exception.</w:t>
      </w:r>
    </w:p>
    <w:p>
      <w:pPr>
        <w:pStyle w:val="ListBullet"/>
      </w:pPr>
      <w:r>
        <w:t>BEFORE INSERT/UPDATE on financial tables checks accounting_periods.state; locked-period writes rejected except via a logged senior-override.</w:t>
      </w:r>
    </w:p>
    <w:p>
      <w:pPr>
        <w:pStyle w:val="ListBullet"/>
      </w:pPr>
      <w:r>
        <w:t>Balanced-journal check server-side before commit: sum(debit_paise)=sum(credit_paise) per entry.</w:t>
      </w:r>
    </w:p>
    <w:p>
      <w:pPr>
        <w:pStyle w:val="ListBullet"/>
      </w:pPr>
      <w:r>
        <w:t>Indexing: composite (firm_id, client_id, period); (firm_id, as_of) for health; (firm_id, next_due_date) for obligations; GIN on jsonb + gstin[]; cursor pagination on timeline/transactions/deadlines.</w:t>
      </w:r>
    </w:p>
    <w:p>
      <w:pPr>
        <w:pStyle w:val="ListBullet"/>
      </w:pPr>
      <w:r>
        <w:t>Retention: soft-delete only where allowed; Timeline/append-only never hard-deleted; daily retention sweep.</w:t>
      </w:r>
    </w:p>
    <w:p>
      <w:r>
        <w:br w:type="page"/>
      </w:r>
    </w:p>
    <w:p>
      <w:pPr>
        <w:pStyle w:val="Heading1"/>
      </w:pPr>
      <w:r>
        <w:t>PART VII — App Flows &amp; State Models</w:t>
      </w:r>
    </w:p>
    <w:p>
      <w:pPr>
        <w:pStyle w:val="Heading2"/>
      </w:pPr>
      <w:r>
        <w:t>34. Navigation Model</w:t>
      </w:r>
    </w:p>
    <w:p>
      <w:r>
        <w:rPr>
          <w:b w:val="0"/>
          <w:i w:val="0"/>
        </w:rPr>
        <w:t>Dual-rail. Rail 1 (48px, always visible) is domain navigation with an identity anchor; Rail 2 (200px, contextual, collapsible) is section navigation within the active domain. Any work surface is reachable in two clicks. A third navigation level is forbidden. Hard rule: a client can never access the firm workspace; a firm user can view a simulated portal but never assumes the client’s session.</w:t>
      </w:r>
    </w:p>
    <w:p>
      <w:pPr>
        <w:pStyle w:val="Heading2"/>
      </w:pPr>
      <w:r>
        <w:t>35. Key Journeys</w:t>
      </w:r>
    </w:p>
    <w:p>
      <w:pPr>
        <w:pStyle w:val="ListBullet"/>
      </w:pPr>
      <w:r>
        <w:rPr>
          <w:b/>
        </w:rPr>
        <w:t xml:space="preserve">Authentication — </w:t>
      </w:r>
      <w:r>
        <w:t>Firm user signs in (Supabase Auth; token carries firm_id + role; optional MFA challenge → aal2) → Home. Client signs in on the dedicated portal surface (separate audience) → portal home; a parallel WhatsApp thread mirrors requests.</w:t>
      </w:r>
    </w:p>
    <w:p>
      <w:pPr>
        <w:pStyle w:val="ListBullet"/>
      </w:pPr>
      <w:r>
        <w:rPr>
          <w:b/>
        </w:rPr>
        <w:t xml:space="preserve">Context switch — </w:t>
      </w:r>
      <w:r>
        <w:t>click a client anywhere → sidebar transforms, client header renders, workspace loads at last-visited section/scroll, URL becomes /clients/[id]/[section]; ‘Back to Firm’ returns. FY selector re-scopes all data.</w:t>
      </w:r>
    </w:p>
    <w:p>
      <w:pPr>
        <w:pStyle w:val="ListBullet"/>
      </w:pPr>
      <w:r>
        <w:rPr>
          <w:b/>
        </w:rPr>
        <w:t xml:space="preserve">Onboarding (10 steps) — </w:t>
      </w:r>
      <w:r>
        <w:t>engagement letter (e-sign) → client profile → KYC → services &amp; fees → compliance calendar (rule engine) → accounting setup (Tally import) → relationship intelligence → team assignment → portal invitation → go-live (mandatory steps verified → first work item → partner sign-off → active).</w:t>
      </w:r>
    </w:p>
    <w:p>
      <w:pPr>
        <w:pStyle w:val="ListBullet"/>
      </w:pPr>
      <w:r>
        <w:rPr>
          <w:b/>
        </w:rPr>
        <w:t xml:space="preserve">Recurring GST cycle — </w:t>
      </w:r>
      <w:r>
        <w:t>Day 1 GSTR-1 work item auto-created → uploads → Document Intelligence → drafts → CA confirms → Day 11 GSTR-1 filed (CA-confirm) → 2B fetched → IMS reconciliation → Day 20 GSTR-3B filed (CA-confirm) → bank recon + close. All events → Timeline; misses → Health Engine.</w:t>
      </w:r>
    </w:p>
    <w:p>
      <w:pPr>
        <w:pStyle w:val="ListBullet"/>
      </w:pPr>
      <w:r>
        <w:rPr>
          <w:b/>
        </w:rPr>
        <w:t xml:space="preserve">Document ingestion — </w:t>
      </w:r>
      <w:r>
        <w:t>upload (web/portal/email/WhatsApp) → format detection → OCR → classification + dedupe → typed extraction (confidence) → draft (never auto-posted) → mandatory CA review → Timeline.</w:t>
      </w:r>
    </w:p>
    <w:p>
      <w:pPr>
        <w:pStyle w:val="ListBullet"/>
      </w:pPr>
      <w:r>
        <w:rPr>
          <w:b/>
        </w:rPr>
        <w:t xml:space="preserve">Year-end (10 phases) — </w:t>
      </w:r>
      <w:r>
        <w:t>planning → accounting close → adjustments → TB review → tax computation → financial statements → audit support → finalisation → filing → archive (triggered T-90).</w:t>
      </w:r>
    </w:p>
    <w:p>
      <w:pPr>
        <w:pStyle w:val="ListBullet"/>
      </w:pPr>
      <w:r>
        <w:rPr>
          <w:b/>
        </w:rPr>
        <w:t xml:space="preserve">Signing — </w:t>
      </w:r>
      <w:r>
        <w:t>does it legally require DSC? No → Aadhaar eSign; Yes → DSC orchestration (token/batch session) → signed artefact archived → Timeline → UDIN generated &amp; linked where applicable.</w:t>
      </w:r>
    </w:p>
    <w:p>
      <w:pPr>
        <w:pStyle w:val="ListBullet"/>
      </w:pPr>
      <w:r>
        <w:rPr>
          <w:b/>
        </w:rPr>
        <w:t xml:space="preserve">Renewal/Exit — </w:t>
      </w:r>
      <w:r>
        <w:t>renewal T-60 (AI summary → renew/increase/change/not-renew → letter + e-sign → follow-ups). Exit (handover package → partner-signed letter → portal read-only 30 days → revoke → archive).</w:t>
      </w:r>
    </w:p>
    <w:p>
      <w:pPr>
        <w:pStyle w:val="ListBullet"/>
      </w:pPr>
      <w:r>
        <w:rPr>
          <w:b/>
        </w:rPr>
        <w:t xml:space="preserve">Portal &amp; WhatsApp — </w:t>
      </w:r>
      <w:r>
        <w:t>document request → portal + WhatsApp template → client uploads/replies → Document Intelligence → draft; approvals via portal/WhatsApp; unanswered escalate and reduce Responsiveness.</w:t>
      </w:r>
    </w:p>
    <w:p>
      <w:pPr>
        <w:pStyle w:val="ListBullet"/>
      </w:pPr>
      <w:r>
        <w:rPr>
          <w:b/>
        </w:rPr>
        <w:t xml:space="preserve">AI insight surfacing — </w:t>
      </w:r>
      <w:r>
        <w:t>trigger true → insight composed (detection + evidence + action) → AI Insights tab (+ firm AI screen if cross-client) → CA acts/dismisses/suppresses → logged to calibrate.</w:t>
      </w:r>
    </w:p>
    <w:p>
      <w:pPr>
        <w:pStyle w:val="Heading2"/>
      </w:pPr>
      <w:r>
        <w:t>36. State Models</w:t>
      </w:r>
    </w:p>
    <w:p>
      <w:pPr>
        <w:ind w:left="216"/>
      </w:pPr>
      <w:r>
        <w:rPr>
          <w:rFonts w:ascii="Consolas" w:hAnsi="Consolas"/>
          <w:color w:val="0F172A"/>
          <w:sz w:val="16"/>
        </w:rPr>
        <w:t>Work item : Created -&gt; In Progress (stages) -&gt; Partner Review -&gt; Filed/Completed  (\-&gt; Overdue)</w:t>
        <w:br/>
        <w:t>Deadline  : Not Started -&gt; In Progress -&gt; Filed  (\-&gt; Overdue)   [status derived, never set manually]</w:t>
        <w:br/>
        <w:t>Period    : Open -&gt; Closed -&gt; Locked   [writes to Locked require logged senior override]</w:t>
        <w:br/>
        <w:t>Lifecycle : Lead -&gt; Prospect -&gt; Onboarding -&gt; Active &lt;-&gt; Year End ; Renewal -&gt; Active/Dormant -&gt; Exit</w:t>
      </w:r>
    </w:p>
    <w:p>
      <w:r>
        <w:br w:type="page"/>
      </w:r>
    </w:p>
    <w:p>
      <w:pPr>
        <w:pStyle w:val="Heading1"/>
      </w:pPr>
      <w:r>
        <w:t>PART VIII — UI/UX Design System</w:t>
      </w:r>
    </w:p>
    <w:p>
      <w:pPr>
        <w:pStyle w:val="Heading2"/>
      </w:pPr>
      <w:r>
        <w:t>37. Design Principles</w:t>
      </w:r>
    </w:p>
    <w:p>
      <w:pPr>
        <w:pStyle w:val="ListBullet"/>
      </w:pPr>
      <w:r>
        <w:t>The Client-OS mental model: entering a client is a workspace change; ‘I am inside ABC Pvt Ltd,’ not ‘viewing a record.’ Consistent structure so muscle memory transfers across all 100.</w:t>
      </w:r>
    </w:p>
    <w:p>
      <w:pPr>
        <w:pStyle w:val="ListBullet"/>
      </w:pPr>
      <w:r>
        <w:t>Triage in 30 seconds: Home and Clients are dispatch surfaces, not reports; the most urgent thing is most prominent.</w:t>
      </w:r>
    </w:p>
    <w:p>
      <w:pPr>
        <w:pStyle w:val="ListBullet"/>
      </w:pPr>
      <w:r>
        <w:t>Fewer, better signals: only high-confidence, well-timed information; visual noise is a defect.</w:t>
      </w:r>
    </w:p>
    <w:p>
      <w:pPr>
        <w:pStyle w:val="ListBullet"/>
      </w:pPr>
      <w:r>
        <w:t>Events as sentences: the Timeline reads as plain language and links to its work surface.</w:t>
      </w:r>
    </w:p>
    <w:p>
      <w:pPr>
        <w:pStyle w:val="ListBullet"/>
      </w:pPr>
      <w:r>
        <w:t>Confirm, don’t surprise: government-rail/money actions are visibly gated; draft vs committed always clear.</w:t>
      </w:r>
    </w:p>
    <w:p>
      <w:pPr>
        <w:pStyle w:val="ListBullet"/>
      </w:pPr>
      <w:r>
        <w:t>Indian by default: lakh/crore grouping, ₹ symbol, Schedule III, statutory vocabulary.</w:t>
      </w:r>
    </w:p>
    <w:p>
      <w:pPr>
        <w:pStyle w:val="Heading2"/>
      </w:pPr>
      <w:r>
        <w:t>38. Navigation, Visual Language &amp; 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Element</w:t>
            </w:r>
          </w:p>
        </w:tc>
        <w:tc>
          <w:tcPr>
            <w:tcW w:type="dxa" w:w="7488"/>
          </w:tcPr>
          <w:p>
            <w:r/>
            <w:r>
              <w:rPr>
                <w:b/>
                <w:sz w:val="18"/>
              </w:rPr>
              <w:t>Spec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Rail 1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48px, always visible, never collapses; identity anchor (firm logo / client monogram).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Rail 2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200px, contextual to active domain, user-collapsible (persisted per user/device).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Client header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Persistent band: name, entity-type badge, GSTIN, FY selector, ‘Back to Firm’.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Depth limit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Two clicks to any work surface; deep links /clients/[id]/[section] stable + shareable; returns restore section + scroll.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Typography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Single legible sans-serif; tabular numerals for financial tables; monospaced codes (GSTIN/SRN/ARN/BSR).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Money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Render from integer paise with Indian grouping + ₹; never show raw paise; drafts vs posted visually distinct.</w:t>
            </w:r>
          </w:p>
        </w:tc>
      </w:tr>
    </w:tbl>
    <w:p/>
    <w:p>
      <w:r>
        <w:rPr>
          <w:b w:val="0"/>
          <w:i w:val="0"/>
        </w:rPr>
        <w:t>Colour tokens (fixed semantics): GST blue · TDS orange · MCA purple · Income-tax green · Advance-tax dark green · Payroll teal · Grey (custom/dormant) · Health Green/Amber/Red (&lt;7 days amber, &lt;3 days red).</w:t>
      </w:r>
    </w:p>
    <w:p>
      <w:r>
        <w:rPr>
          <w:b w:val="0"/>
          <w:i w:val="0"/>
        </w:rPr>
        <w:t>Core components: client card · health widget (composite + 7-dimension bars) · timeline event · work-item card (Kanban drag fires automations) · deadline row · draft-review card (confidence highlights) · signing-queue item (batch) · insight card (detection + evidence + act/dismiss/suppress).</w:t>
      </w:r>
    </w:p>
    <w:p>
      <w:pPr>
        <w:pStyle w:val="Heading2"/>
      </w:pPr>
      <w:r>
        <w:t>39. Health Visualisation, Portal/Mobile, Accessibility</w:t>
      </w:r>
    </w:p>
    <w:p>
      <w:pPr>
        <w:pStyle w:val="ListBullet"/>
      </w:pPr>
      <w:r>
        <w:t>Health: never show the score to clients; never gameable (reads source data); never replaces judgement; trend matters as much as the number (a declining 75 beats an improving 65 for urgency).</w:t>
      </w:r>
    </w:p>
    <w:p>
      <w:pPr>
        <w:pStyle w:val="ListBullet"/>
      </w:pPr>
      <w:r>
        <w:t>Portal: installable mobile-first PWA; the client’s job is narrow (see pending, upload, approve, message); WhatsApp mirrors requests so a client who never opens the portal can still respond.</w:t>
      </w:r>
    </w:p>
    <w:p>
      <w:pPr>
        <w:pStyle w:val="ListBullet"/>
      </w:pPr>
      <w:r>
        <w:t>Accessibility: sufficient contrast; never rely on colour alone (pair with labels/icons); defined empty/loading/error states; skeletons; partial rendering so triage is never blocked; keyboard-navigable firm workflows; graceful degradation messaging when a rail is down.</w:t>
      </w:r>
    </w:p>
    <w:p>
      <w:r>
        <w:br w:type="page"/>
      </w:r>
    </w:p>
    <w:p>
      <w:pPr>
        <w:pStyle w:val="Heading1"/>
      </w:pPr>
      <w:r>
        <w:t>PART IX — Integrations &amp; Compliance API Strategy</w:t>
      </w:r>
    </w:p>
    <w:p>
      <w:pPr>
        <w:pStyle w:val="Heading2"/>
      </w:pPr>
      <w:r>
        <w:t>40. The Core Reality &amp; The Guardrail</w:t>
      </w:r>
    </w:p>
    <w:p>
      <w:r>
        <w:rPr>
          <w:b w:val="0"/>
          <w:i w:val="0"/>
        </w:rPr>
        <w:t>There are no free, publicly exposed government ‘API keys’ for direct filing. Every rail is gated through a licensed intermediary or a registration regime — a cost/dependency/lead-time line that shapes the build, and part of the moat. The guardrail that governs every rail: the CA confirms, the system executes — an explicit, logged confirmation before submission. No autonomous filing, ever.</w:t>
      </w:r>
    </w:p>
    <w:p>
      <w:pPr>
        <w:pStyle w:val="Heading2"/>
      </w:pPr>
      <w:r>
        <w:t>41. Rail-by-Rail Strategy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Rail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Access model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PracticeSync’s role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GST returns / status / payments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Via a licensed GST Suvidha Provider (GSP)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Application Service Provider (ASP) on a GSP; every file() CA-confirmed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E-invoice (IRP)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Via GSP; direct IRP API only above turnover threshold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ASP (per-client direct API impractical at scale)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E-way bill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Via GSP (shares e-invoice credentials)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ASP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Income tax (ITR/prefill/status)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ERI (e-Return Intermediary) regime, Rule 12A, NSDL/Protean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Type-2 ERI; consent + taxpayer-OTP; never store portal passwords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MCA / ROC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Portal-based with DSC; no open filing API (V3, V2 discontinued mid-2025)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Prepare + XBRL tag (AOC-4); CA submits on portal with DSC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26AS / AIS / TIS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Via IT portal / ERI session + reconciliation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Reconcile books vs 26AS and AIS/TIS; CA-confirmed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Bank &amp; GST data ingestion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Account Aggregator (RBI consent framework) via a TSP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FIU via TSP; ReBIT JSON; GSTN-as-FIP for GST data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Signing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Aadhaar eSign + DSC on a physical token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Consume eSign; DSC orchestration + batch sessions; evaluate HSM bulk-signing under CCA/legal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UDIN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ICAI UDIN portal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Generate + track per attestation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Client messaging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WhatsApp Business API via a BSP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Channel for requests/reminders/approvals; inbound media → Doc Intelligence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Books migration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Tally export files (one-way)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Importer → mapped to Schedule III CoA → CA-confirmable drafts</w:t>
            </w:r>
          </w:p>
        </w:tc>
      </w:tr>
    </w:tbl>
    <w:p/>
    <w:p>
      <w:pPr>
        <w:pStyle w:val="Heading2"/>
      </w:pPr>
      <w:r>
        <w:t>42. Build vs Partner, Residency, Roadmap</w:t>
      </w:r>
    </w:p>
    <w:p>
      <w:pPr>
        <w:pStyle w:val="ListBullet"/>
      </w:pPr>
      <w:r>
        <w:t>Partner (licensing/uptime competence): GSTN connectivity (GSP), ERI regime, AA plumbing (TSP), eSign, WhatsApp (BSP).</w:t>
      </w:r>
    </w:p>
    <w:p>
      <w:pPr>
        <w:pStyle w:val="ListBullet"/>
      </w:pPr>
      <w:r>
        <w:t>Build (our differentiation): GST/e-invoice/e-way logic as ASP, ITR prep/consent/submission UX, ingestion + reconciliation, DSC orchestration, the WhatsApp channel, and — never outsourced — Document Intelligence + memory (the moat).</w:t>
      </w:r>
    </w:p>
    <w:p>
      <w:pPr>
        <w:pStyle w:val="ListBullet"/>
      </w:pPr>
      <w:r>
        <w:t>Neither (no API): MCA submission = prepare + portal handoff.</w:t>
      </w:r>
    </w:p>
    <w:p>
      <w:pPr>
        <w:pStyle w:val="ListBullet"/>
      </w:pPr>
      <w:r>
        <w:t>Residency/DPDP: consent native to ERI + AA (aligns with DPDP by construction); Tier-2 LLM masks/redacts before inference or uses India-region/self-hosted; Aadhaar stored last-4 only.</w:t>
      </w:r>
    </w:p>
    <w:p>
      <w:pPr>
        <w:pStyle w:val="ListBullet"/>
      </w:pPr>
      <w:r>
        <w:t>Phased: Tally import (Ph2) → rule engine/IMS 2B/AIS recon (Ph3) → AA-ready abstraction (Ph5) → eSign/DSC/UDIN/WhatsApp (Ph11) → live GSP/ERI/AA (Ph14+). A prepare-and-handoff fallback always exists so the CA is never blocked.</w:t>
      </w:r>
    </w:p>
    <w:p>
      <w:r>
        <w:rPr>
          <w:b w:val="0"/>
          <w:i/>
        </w:rPr>
        <w:t>Open questions: which GSP/ERI/AA-TSP to commit to first; HSM DSC bulk-signing viability under ICAI/CCA; pricing model (per-CA seat vs per-client vs hybrid); live e-invoice vs live AA sequencing.</w:t>
      </w:r>
    </w:p>
    <w:p>
      <w:r>
        <w:br w:type="page"/>
      </w:r>
    </w:p>
    <w:p>
      <w:pPr>
        <w:pStyle w:val="Heading1"/>
      </w:pPr>
      <w:r>
        <w:t>PART X — Implementation Plan</w:t>
      </w:r>
    </w:p>
    <w:p>
      <w:pPr>
        <w:pStyle w:val="Heading2"/>
      </w:pPr>
      <w:r>
        <w:t>43. Sequencing &amp; Tracks</w:t>
      </w:r>
    </w:p>
    <w:p>
      <w:r>
        <w:rPr>
          <w:b w:val="0"/>
          <w:i w:val="0"/>
        </w:rPr>
        <w:t>Sequenced by dependency, not user-visible impact — infrastructure first, features on top. Two tracks run in parallel from day one: the Build track (Phases 0–14) and the Partner track (GSP/ERI/AA-TSP/eSign-DSC/WhatsApp BSP onboarding), which has long external lead times and must start immediately.</w:t>
      </w:r>
    </w:p>
    <w:p>
      <w:pPr>
        <w:pStyle w:val="Heading2"/>
      </w:pPr>
      <w:r>
        <w:t>44. The Phased Roadmap (0–14)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7344"/>
          </w:tcPr>
          <w:p>
            <w:r/>
            <w:r>
              <w:rPr>
                <w:b/>
                <w:sz w:val="18"/>
              </w:rPr>
              <w:t>Focus &amp; key deliverables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0 Architecture reset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Dual-rail shell; context switch; FY selector + persistence; Timeline service; entity/health schema; DPDP scaffolding; modules inside client workspace; remove global routes.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1 Accounting foundation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Schedule III CoA; immutable double-entry journals + period validation; GL; TB; P&amp;L + BS; banks; CSV import; Timeline on accounting actions.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2 Sales/purchases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Customer/vendor master; sales invoices (GST auto, HSN); receipts/credit notes; purchase bills (GST + TDS auto); payments; auto-journals; Doc Intelligence v1; Tally one-way import (elevated).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3 Compliance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GST (IMS-aware 2B), TDS, MCA in client workspace; compliance calendar → firm Deadlines via rule engine; Doc Intelligence v2 (notice→work item).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4 Payroll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Employees + structures; runs (PF/ESI/PT/TDS); auto-journal on finalise; challans; 24Q feed; Doc Intelligence v3.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5 Fixed assets + bank recon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Asset register; SLM/WDV depreciation auto-journals; bank reconciliation (AI matching + rules); Doc Intelligence v4; AA-ready ingestion abstraction.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6 Year-end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10-phase workflow; TB lock; adjustments; auto-schedules; Notes editor; Schedule III PDF; audit support.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7 Client lifecycle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Leads; proposals; onboarding (10 steps); engagement letter + e-sign; lifecycle states; renewal; lifecycle dashboard.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8 Relationship intelligence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Entity model + CRUD; cross-client detection; relationship graph; related-party auto-population; s.185/TP alerts; MCA pre-population.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9 Health Engine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All 7 dimensions; daily computation + history; hard overrides; partner Critical/At-Risk dashboard.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10 Work + automation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Work items; pipeline builder; automation engine; templates; time tracking; firm Work screen.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10B Revenue Operations (v1.1)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Firm-as-internal-client (+G1–G4); billing_schedules + recurring invoices; GST/TDS on own fees; collections/AR + reminders; billable flag + cost-rate.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11 Portal + signing + UDIN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Client portal (separate auth); requests/upload; approvals; messaging; WhatsApp; signing (eSign + DSC, batch); UDIN; Knowledge Base + client instructions.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12 AI insights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Anomaly detection; deadline-at-risk; cash-flow warning; client profiles; trigger engine; cross-client AI; AI Insights tab.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13 AI memory + compounding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Full episodic→semantic pipeline; repeat-issue detection; year-end planning AI; firm intelligence; Revenue Intelligence + analytics foundation (privacy-gated).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14+ Live rails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ITR workspace; XBRL for AOC-4; live e-invoice/e-way; 26AS + AIS/TIS automation; live Account Aggregator; GST read via GSP/AA.</w:t>
            </w:r>
          </w:p>
        </w:tc>
      </w:tr>
    </w:tbl>
    <w:p/>
    <w:p>
      <w:pPr>
        <w:pStyle w:val="Heading2"/>
      </w:pPr>
      <w:r>
        <w:t>45. Milestones, Testing, Go-Live, Risk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18"/>
              </w:rPr>
              <w:t>Definition (cumulative)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M1 Platform spine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Ph 0–1: context switch, immutable accounting, Timeline, RLS invariants.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M2 Books + compliance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Ph 2–3: full transaction cycle, GST/TDS/MCA, firm Deadlines, Tally import.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M3 Full client operations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Ph 4–6: payroll, fixed assets, reconciliation, end-to-end year-end (the headline differentiator).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M4 Firm at scale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Ph 7–10: lifecycle, relationship intelligence, Health Engine, work + automation.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M5 Portal + signing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Ph 11: portal, WhatsApp, signing, UDIN.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M6 Intelligence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Ph 12–13: AI insights + compounding memory.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M7 Live rails</w:t>
            </w:r>
          </w:p>
        </w:tc>
        <w:tc>
          <w:tcPr>
            <w:tcW w:type="dxa" w:w="6912"/>
          </w:tcPr>
          <w:p>
            <w:r/>
            <w:r>
              <w:rPr>
                <w:sz w:val="17"/>
              </w:rPr>
              <w:t>Ph 14+: live GST/e-invoice/ERI/AA behind the CA-confirm gate.</w:t>
            </w:r>
          </w:p>
        </w:tc>
      </w:tr>
    </w:tbl>
    <w:p/>
    <w:p>
      <w:r>
        <w:rPr>
          <w:b w:val="0"/>
          <w:i w:val="0"/>
        </w:rPr>
        <w:t>Testing: invariant tests (balanced-journal/paise/period-lock/immutability) continuous in CI; RLS isolation negative tests; integration contract tests vs sandboxes verifying the CA-confirm gate; scale + triage acceptance on a synthetic 100-client fixture; domain correctness reviewed by a CA advisor; resilience. Go-live: all invariant/isolation/CA-gate tests pass; an end-to-end year-end produced + reviewed; firm-wide triage to target; DPDP controls tested; prepare-and-handoff live for every not-yet-integrated rail; backup/DR restore drill + tenant export.</w:t>
      </w:r>
    </w:p>
    <w:p>
      <w:r>
        <w:br w:type="page"/>
      </w:r>
    </w:p>
    <w:p>
      <w:pPr>
        <w:pStyle w:val="Heading1"/>
      </w:pPr>
      <w:r>
        <w:t>PART XI — As-Built State (What Exists Today)</w:t>
      </w:r>
    </w:p>
    <w:p>
      <w:r>
        <w:rPr>
          <w:b w:val="0"/>
          <w:i/>
        </w:rPr>
        <w:t>This part records the delivered MVP exactly, and where it diverges from the plan. It is the authoritative ‘current reality’.</w:t>
      </w:r>
    </w:p>
    <w:p>
      <w:pPr>
        <w:pStyle w:val="Heading2"/>
      </w:pPr>
      <w:r>
        <w:t>46. Deployed Stack &amp; Inventory</w:t>
      </w:r>
    </w:p>
    <w:p>
      <w:pPr>
        <w:pStyle w:val="ListBullet"/>
      </w:pPr>
      <w:r>
        <w:rPr>
          <w:b/>
        </w:rPr>
        <w:t xml:space="preserve">Frontend — </w:t>
      </w:r>
      <w:r>
        <w:t>Next.js 14 + TypeScript + Tailwind + shadcn/ui on Cloudflare Pages (auto-deploy from main). 154 page routes.</w:t>
      </w:r>
    </w:p>
    <w:p>
      <w:pPr>
        <w:pStyle w:val="ListBullet"/>
      </w:pPr>
      <w:r>
        <w:rPr>
          <w:b/>
        </w:rPr>
        <w:t xml:space="preserve">Backend — </w:t>
      </w:r>
      <w:r>
        <w:t>FastAPI (Python 3.11) on Render (auto-deploy from main). 77 routers / ~65 API prefixes (e.g. /api/accounting, /api/sales-invoices, /api/gst-workspace, /api/tds-workspace, /api/mca-workspace, /api/payroll, /api/documents, /api/copilot, /api/identity, /api/approvals, /api/assignments, …).</w:t>
      </w:r>
    </w:p>
    <w:p>
      <w:pPr>
        <w:pStyle w:val="ListBullet"/>
      </w:pPr>
      <w:r>
        <w:rPr>
          <w:b/>
        </w:rPr>
        <w:t xml:space="preserve">Database — </w:t>
      </w:r>
      <w:r>
        <w:t>Supabase Postgres + RLS; 182 tables; 89 forward-only migrations (001→087); all tables RLS-enabled.</w:t>
      </w:r>
    </w:p>
    <w:p>
      <w:pPr>
        <w:pStyle w:val="ListBullet"/>
      </w:pPr>
      <w:r>
        <w:rPr>
          <w:b/>
        </w:rPr>
        <w:t xml:space="preserve">AI — </w:t>
      </w:r>
      <w:r>
        <w:t>Groq llama-3.3-70b behind a provider interface.</w:t>
      </w:r>
    </w:p>
    <w:p>
      <w:pPr>
        <w:pStyle w:val="ListBullet"/>
      </w:pPr>
      <w:r>
        <w:rPr>
          <w:b/>
        </w:rPr>
        <w:t xml:space="preserve">Auth — </w:t>
      </w:r>
      <w:r>
        <w:t>Supabase Auth + separate portal audience + TOTP MFA.</w:t>
      </w:r>
    </w:p>
    <w:p>
      <w:pPr>
        <w:pStyle w:val="ListBullet"/>
      </w:pPr>
      <w:r>
        <w:rPr>
          <w:b/>
        </w:rPr>
        <w:t xml:space="preserve">Feature flags (Render env) — </w:t>
      </w:r>
      <w:r>
        <w:t>USE_USER_JWT, REQUIRE_MFA, MFA_REQUIRED_ROLES (default Partner), ENABLE_SCHEDULER.</w:t>
      </w:r>
    </w:p>
    <w:p>
      <w:pPr>
        <w:pStyle w:val="Heading2"/>
      </w:pPr>
      <w:r>
        <w:t>47. What Was Delivered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464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Firm Layer (Home/Clients/Deadlines/Work/Team/AI/Pipeline)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Client accounting (CoA, sales, purchases, journals, ledger, fixed assets, banking, recon)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Double-entry, paise, immutability, period-lock enforced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GST / TDS / MCA / ITR workspaces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✅ Built (prep)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Prepare + CA-confirm; live portal submission deferred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Payroll (incl. Aadhaar last-4)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Runs, statutory outputs, auto-journals, 24Q feed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Year-end (10-phase) + XBRL prep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Documents + AI extraction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Health Engine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🟡 Partial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Compliance + several dimensions live; rest neutral until data populated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AI copilot / memory / insights / relationships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Revenue Ops / Billing / Knowledge / Firm-as-Internal-Client (G1–G4)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Migrations 073–080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Practice OS (RBAC+ABAC+RLS, governance, identity, audit, sessions)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Module 9.0 M1–M6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MFA (enrollment UI + login challenge) + per-user-JWT cutover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✅ Built (flag-gated)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RLS-validated on a 7-persona matrix; enable via env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Bulk import (CSV/XLSX: customers, vendors, sales invoices, purchase bills, receipts, employees)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Demo Filing mode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✅ Built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Simulated workflow; demo references; never contacts a portal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Client Portal + WhatsApp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✅ / 🟡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Portal built; WhatsApp channel partial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Live government-portal filing (GST/ITR/MCA)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⛔ Deferred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By design (prepare + CA-confirm); GSP/ERI live pipes phased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Account Aggregator live pipe · eSign/DSC · UDIN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🟡 / ⛔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Abstractions/partial; live integrations phased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7"/>
              </w:rPr>
              <w:t>Revenue Intelligence / practice profitability analytics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⛔ Deferred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48. Divergences From the Plan (explicit)</w:t>
      </w:r>
    </w:p>
    <w:p>
      <w:pPr>
        <w:pStyle w:val="ListBullet"/>
      </w:pPr>
      <w:r>
        <w:rPr>
          <w:b/>
        </w:rPr>
        <w:t xml:space="preserve">Backend language — </w:t>
      </w:r>
      <w:r>
        <w:t>FastAPI/Python, not the TRD’s imagined TypeScript service layer. All hard invariants (RLS, paise, immutability, period control, CA-confirm gate) preserved; isolation today is enforced in the repository layer with RLS as defence-in-depth.</w:t>
      </w:r>
    </w:p>
    <w:p>
      <w:pPr>
        <w:pStyle w:val="ListBullet"/>
      </w:pPr>
      <w:r>
        <w:rPr>
          <w:b/>
        </w:rPr>
        <w:t xml:space="preserve">Role model — </w:t>
      </w:r>
      <w:r>
        <w:t>unified to 5 (Partner/Manager/Executive/Reviewer/Client; Owner→Partner), resolving the earlier frontend/backend mismatch.</w:t>
      </w:r>
    </w:p>
    <w:p>
      <w:pPr>
        <w:pStyle w:val="ListBullet"/>
      </w:pPr>
      <w:r>
        <w:rPr>
          <w:b/>
        </w:rPr>
        <w:t xml:space="preserve">Enforcement — </w:t>
      </w:r>
      <w:r>
        <w:t>app-layer RBAC+ABAC is the effective control today (service-role DB client); per-user-JWT cutover (USE_USER_JWT) makes RLS the live floor and is built + RLS-validated but shipped OFF behind a flag.</w:t>
      </w:r>
    </w:p>
    <w:p>
      <w:pPr>
        <w:pStyle w:val="ListBullet"/>
      </w:pPr>
      <w:r>
        <w:rPr>
          <w:b/>
        </w:rPr>
        <w:t xml:space="preserve">Government filing — </w:t>
      </w:r>
      <w:r>
        <w:t>not live; the product prepares + CA-confirms, and the Demo Filing mode demonstrates the full prepare→validate→file→acknowledge workflow with clearly-labelled demo references.</w:t>
      </w:r>
    </w:p>
    <w:p>
      <w:pPr>
        <w:pStyle w:val="ListBullet"/>
      </w:pPr>
      <w:r>
        <w:rPr>
          <w:b/>
        </w:rPr>
        <w:t xml:space="preserve">Health Engine — </w:t>
      </w:r>
      <w:r>
        <w:t>computes the compliance dimension and several others; remaining dimensions default to neutral pending their data sources.</w:t>
      </w:r>
    </w:p>
    <w:p>
      <w:pPr>
        <w:pStyle w:val="Heading2"/>
      </w:pPr>
      <w:r>
        <w:t>49. Deployment, Flags &amp; Trial Readiness</w:t>
      </w:r>
    </w:p>
    <w:p>
      <w:r>
        <w:rPr>
          <w:b w:val="0"/>
          <w:i w:val="0"/>
        </w:rPr>
        <w:t>Deploys: Cloudflare (frontend) and Render (backend) auto-build from main; Supabase migrations forward-only. CI runs lint + typecheck + build (Node) and pytest (Python) on every PR.</w:t>
      </w:r>
    </w:p>
    <w:p>
      <w:r>
        <w:rPr>
          <w:b w:val="0"/>
          <w:i w:val="0"/>
        </w:rPr>
        <w:t>To enable MFA: enable TOTP in Supabase Auth → Partners enrol at Settings → Security → set REQUIRE_MFA=true on Render. To enable per-user JWT: add SUPABASE_ANON_KEY on Render → set USE_USER_JWT=true → canary. Rollback for either is a single env flip + restart.</w:t>
      </w:r>
    </w:p>
    <w:p>
      <w:r>
        <w:rPr>
          <w:b w:val="0"/>
          <w:i w:val="0"/>
        </w:rPr>
        <w:t>Trial readiness: navigation/route integrity clean; build prerenders all routes; authorization validated across the 7-persona matrix (cross-client/cross-manager denied for reads/writes/search/analytics/documents/AI/imports/approvals; Partner firm-wide); core client/compliance/accounting/import/demo-filing workflows implemented. Pre-trial ops: enable leaked-password protection in Supabase; keep Render warm; enrol Partners before enabling MFA.</w:t>
      </w:r>
    </w:p>
    <w:p>
      <w:r>
        <w:br w:type="page"/>
      </w:r>
    </w:p>
    <w:p>
      <w:pPr>
        <w:pStyle w:val="Heading1"/>
      </w:pPr>
      <w:r>
        <w:t>PART XII — Metrics, Risks, Glossary &amp; Pitch</w:t>
      </w:r>
    </w:p>
    <w:p>
      <w:pPr>
        <w:pStyle w:val="Heading2"/>
      </w:pPr>
      <w:r>
        <w:t>50. 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6480"/>
          </w:tcPr>
          <w:p>
            <w:r/>
            <w:r>
              <w:rPr>
                <w:b/>
                <w:sz w:val="18"/>
              </w:rPr>
              <w:t>Target / definition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Clients per CA (north star)</w:t>
            </w:r>
          </w:p>
        </w:tc>
        <w:tc>
          <w:tcPr>
            <w:tcW w:type="dxa" w:w="6480"/>
          </w:tcPr>
          <w:p>
            <w:r/>
            <w:r>
              <w:rPr>
                <w:sz w:val="17"/>
              </w:rPr>
              <w:t>Median active clients per professional rises toward 100 within 12 months.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Time-to-context</w:t>
            </w:r>
          </w:p>
        </w:tc>
        <w:tc>
          <w:tcPr>
            <w:tcW w:type="dxa" w:w="6480"/>
          </w:tcPr>
          <w:p>
            <w:r/>
            <w:r>
              <w:rPr>
                <w:sz w:val="17"/>
              </w:rPr>
              <w:t>Understand any client from the Timeline in under 60 seconds.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Morning triage time</w:t>
            </w:r>
          </w:p>
        </w:tc>
        <w:tc>
          <w:tcPr>
            <w:tcW w:type="dxa" w:w="6480"/>
          </w:tcPr>
          <w:p>
            <w:r/>
            <w:r>
              <w:rPr>
                <w:sz w:val="17"/>
              </w:rPr>
              <w:t>Identify the day’s critical clients in under 30 seconds on Home.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Missed-deadline rate</w:t>
            </w:r>
          </w:p>
        </w:tc>
        <w:tc>
          <w:tcPr>
            <w:tcW w:type="dxa" w:w="6480"/>
          </w:tcPr>
          <w:p>
            <w:r/>
            <w:r>
              <w:rPr>
                <w:sz w:val="17"/>
              </w:rPr>
              <w:t>Near-zero for active clients; every miss explainable from the trail.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Document throughput</w:t>
            </w:r>
          </w:p>
        </w:tc>
        <w:tc>
          <w:tcPr>
            <w:tcW w:type="dxa" w:w="6480"/>
          </w:tcPr>
          <w:p>
            <w:r/>
            <w:r>
              <w:rPr>
                <w:sz w:val="17"/>
              </w:rPr>
              <w:t>Median upload-to-confirmed-draft under ~30 seconds of CA time.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Insight precision</w:t>
            </w:r>
          </w:p>
        </w:tc>
        <w:tc>
          <w:tcPr>
            <w:tcW w:type="dxa" w:w="6480"/>
          </w:tcPr>
          <w:p>
            <w:r/>
            <w:r>
              <w:rPr>
                <w:sz w:val="17"/>
              </w:rPr>
              <w:t>High acted-on rate; low suppression as noise.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Collections (v1.1)</w:t>
            </w:r>
          </w:p>
        </w:tc>
        <w:tc>
          <w:tcPr>
            <w:tcW w:type="dxa" w:w="6480"/>
          </w:tcPr>
          <w:p>
            <w:r/>
            <w:r>
              <w:rPr>
                <w:sz w:val="17"/>
              </w:rPr>
              <w:t>DSO trends down; AR &gt; 90 days kept low; high share of recurring invoices auto-generated.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Retention / moat</w:t>
            </w:r>
          </w:p>
        </w:tc>
        <w:tc>
          <w:tcPr>
            <w:tcW w:type="dxa" w:w="6480"/>
          </w:tcPr>
          <w:p>
            <w:r/>
            <w:r>
              <w:rPr>
                <w:sz w:val="17"/>
              </w:rPr>
              <w:t>Net revenue retention rises with tenure; low voluntary churn after Year 2.</w:t>
            </w:r>
          </w:p>
        </w:tc>
      </w:tr>
    </w:tbl>
    <w:p/>
    <w:p>
      <w:pPr>
        <w:pStyle w:val="Heading2"/>
      </w:pPr>
      <w:r>
        <w:t>51. Risks &amp; Open Questions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5472"/>
          </w:tcPr>
          <w:p>
            <w:r/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DSC signing is the true scaling wall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First-class signing layer; eSign where legal; batch UX; HSM bulk-signing under CCA/legal review.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Client portal adoption resistance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WhatsApp parallel channel; minimise friction; the CA is the adopter.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GSP/ERI dependency &amp; lead time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Start partner track day one; design to swap; prepare-and-handoff fallback.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LLM data-governance exposure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Mask/redact before inference; configurable provider; India-region option.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Statutory change churn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Versioned compliance rule engine with a named owner + tested update process.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Firm financials leaking to staff (v1.1)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Guardrail G1 at RLS first, then API, then UI; negative tests.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7"/>
              </w:rPr>
              <w:t>Scope creep vs 10→100</w:t>
            </w:r>
          </w:p>
        </w:tc>
        <w:tc>
          <w:tcPr>
            <w:tcW w:type="dxa" w:w="5472"/>
          </w:tcPr>
          <w:p>
            <w:r/>
            <w:r>
              <w:rPr>
                <w:sz w:val="17"/>
              </w:rPr>
              <w:t>Every feature passes the 10→100 filter; formal decision to change frozen scope.</w:t>
            </w:r>
          </w:p>
        </w:tc>
      </w:tr>
    </w:tbl>
    <w:p/>
    <w:p>
      <w:r>
        <w:rPr>
          <w:b w:val="0"/>
          <w:i/>
        </w:rPr>
        <w:t>Open questions: pricing model (per-CA seat vs per-client vs hybrid); first GSP/ERI/AA-TSP partners; HSM bulk-signing viability; live e-invoice vs live AA sequencing.</w:t>
      </w:r>
    </w:p>
    <w:p>
      <w:pPr>
        <w:pStyle w:val="Heading2"/>
      </w:pPr>
      <w:r>
        <w:t>52.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6768"/>
          </w:tcPr>
          <w:p>
            <w: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10→100 Principle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Scale from 10 to 100 clients without 10x operational complexity.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Firm / Client Layer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Cross-client practice management vs in-client depth — two layers over one backend.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Work Item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One deliverable for one client in one period (e.g. GSTR-1 — ABC Pvt Ltd — Jun 2025).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Timeline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Append-only, human-readable institutional memory per client (episodic layer).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Health Engine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Seven-dimension triage: composite score, per-dimension diagnosis, hard overrides.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RBAC / ABAC / RLS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Role-based / assignment-based access control / database Row-Level Security.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Firm-as-Internal-Client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The firm modelled as one internal client to reuse the full stack for its own books (G1–G4).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Draft Record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Extraction-created record pending CA confirmation; excluded from reporting/filing until confirmed.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GSP / ASP / ERI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GST Suvidha Provider / Application Service Provider / e-Return Intermediary.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AA / FIU / FIP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Account Aggregator framework; Financial Information User / Provider; GSTN is an FIP.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UDIN / DPDP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Unique Document Identification Number (ICAI) / Digital Personal Data Protection Act 2023.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Demo Filing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A clearly-labelled workflow simulation; demo references; never contacts a portal.</w:t>
            </w:r>
          </w:p>
        </w:tc>
      </w:tr>
    </w:tbl>
    <w:p/>
    <w:p>
      <w:pPr>
        <w:pStyle w:val="Heading2"/>
      </w:pPr>
      <w:r>
        <w:t>53. Pitch-Deck Outline (ready for PPT)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Slide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8"/>
              </w:rPr>
              <w:t>Key message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Title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PracticeSync — the OS for Indian CA firms. ‘10 → 100 clients, without 10x complexity.’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Problem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Capacity-bound practices; fragmented tools; knowledge trapped in people; penalty-bearing compliance.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Why now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Government rails opening (GSP/ERI/AA); reliable LLM extraction; DPDP favours purpose-built platforms.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Insight (10→100)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Make judgement the only thing that scales linearly; the system absorbs memory/coordination/triage/routine.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Product — two layers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Firm Layer (scale) + Client Layer (depth).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Demo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Home triage in 30s; context switch; a compliance workspace; doc AI extract→draft→confirm; Demo Filing.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The moat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Compounding client memory (episodic→semantic→predictive); Year 5 a new hire inherits years of knowledge.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Trust &amp; safety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CA confirms/system executes; immutable journals; paise; RLS+RBAC+ABAC+MFA; DPDP; full audit.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Architecture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Multi-tenant; Next.js + FastAPI + Supabase/Postgres (RLS); integration gateway; LLM replaceable.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What’s built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MVP complete: accounting, compliance prep, payroll, year-end, documents, AI, Practice OS, billing, portal — pilot-ready.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GTM &amp; moat economics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Partner is the buyer; NRR compounds with tenure; switching cost rises with memory.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Roadmap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Signing wall; live GSP/ERI/AA; WhatsApp depth; practice intelligence.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Ask</w:t>
            </w:r>
          </w:p>
        </w:tc>
        <w:tc>
          <w:tcPr>
            <w:tcW w:type="dxa" w:w="6624"/>
          </w:tcPr>
          <w:p>
            <w:r/>
            <w:r>
              <w:rPr>
                <w:sz w:val="17"/>
              </w:rPr>
              <w:t>Funding / pilots / partner commitments (GSP/ERI/AA-TSP); pricing open.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23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23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823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23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