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350"/>
          <w:sz w:val="68"/>
        </w:rPr>
        <w:t>PRACTICESYNC</w:t>
      </w:r>
    </w:p>
    <w:p>
      <w:pPr>
        <w:jc w:val="center"/>
      </w:pPr>
      <w:r>
        <w:rPr>
          <w:color w:val="2563EB"/>
          <w:sz w:val="28"/>
        </w:rPr>
        <w:t>The Operating System for Indian CA Firms</w:t>
      </w:r>
    </w:p>
    <w:p>
      <w:pPr>
        <w:jc w:val="center"/>
      </w:pPr>
      <w:r>
        <w:rPr>
          <w:b/>
          <w:sz w:val="36"/>
        </w:rPr>
        <w:t>MASTER PRODUCT GUIDE</w:t>
      </w:r>
    </w:p>
    <w:p>
      <w:pPr>
        <w:jc w:val="center"/>
      </w:pPr>
      <w:r>
        <w:rPr>
          <w:i/>
          <w:color w:val="475569"/>
        </w:rPr>
        <w:t>Vision · Scope · Architecture · As-Built State · Execution · Roadmap</w:t>
      </w:r>
    </w:p>
    <w:p>
      <w:pPr>
        <w:jc w:val="center"/>
      </w:pPr>
      <w:r>
        <w:rPr>
          <w:i/>
          <w:color w:val="182350"/>
          <w:sz w:val="23"/>
        </w:rPr>
        <w:t>“A CA who can manage 10 clients must be able to manage 100 — without 10x the complexity.”</w:t>
      </w:r>
    </w:p>
    <w:p>
      <w:pPr>
        <w:jc w:val="center"/>
      </w:pPr>
      <w:r>
        <w:rPr>
          <w:color w:val="475569"/>
          <w:sz w:val="19"/>
        </w:rPr>
        <w:t xml:space="preserve">Consolidated from the 9 design documents (PRD, TRD, App Flow, UI/UX, Schema, Implementation, Integrations, Amendments v1.1, Practice OS) and reconciled with the delivered MVP build. </w:t>
        <w:br/>
        <w:t>Status: MVP build complete · Pilot-ready · June 2026</w:t>
      </w:r>
    </w:p>
    <w:p>
      <w:r>
        <w:br w:type="page"/>
      </w:r>
    </w:p>
    <w:p>
      <w:pPr>
        <w:pStyle w:val="Heading1"/>
      </w:pPr>
      <w:r>
        <w:t>1. How to Read This Guide</w:t>
      </w:r>
    </w:p>
    <w:p>
      <w:r>
        <w:rPr>
          <w:b w:val="0"/>
          <w:i w:val="0"/>
        </w:rPr>
        <w:t>This is the single source of truth for PracticeSync. It is written so that anyone — a new engineer, a partner evaluating the product, an investor, or a designer building a pitch deck — can understand what PracticeSync is, who it is for, how it works, what has actually been built, and where it is going, without reading the nine underlying design documents.</w:t>
      </w:r>
    </w:p>
    <w:p>
      <w:r>
        <w:rPr>
          <w:b w:val="0"/>
          <w:i w:val="0"/>
        </w:rPr>
        <w:t>It is organised in five parts:</w:t>
      </w:r>
    </w:p>
    <w:p>
      <w:pPr>
        <w:pStyle w:val="ListBullet"/>
      </w:pPr>
      <w:r>
        <w:rPr>
          <w:b/>
        </w:rPr>
        <w:t xml:space="preserve">Part I — Vision &amp; Strategy: </w:t>
      </w:r>
      <w:r>
        <w:t>why the product exists, the market, the master principle, the moat, the users.</w:t>
      </w:r>
    </w:p>
    <w:p>
      <w:pPr>
        <w:pStyle w:val="ListBullet"/>
      </w:pPr>
      <w:r>
        <w:rPr>
          <w:b/>
        </w:rPr>
        <w:t xml:space="preserve">Part II — The Product: </w:t>
      </w:r>
      <w:r>
        <w:t>scope, principles, every feature of the Firm Layer and Client Layer, the Practice OS, AI/memory — each annotated with build status.</w:t>
      </w:r>
    </w:p>
    <w:p>
      <w:pPr>
        <w:pStyle w:val="ListBullet"/>
      </w:pPr>
      <w:r>
        <w:rPr>
          <w:b/>
        </w:rPr>
        <w:t xml:space="preserve">Part III — Technology: </w:t>
      </w:r>
      <w:r>
        <w:t>architecture, the as-built stack, data model, security/privacy, integrations, AI, UI/UX, flows.</w:t>
      </w:r>
    </w:p>
    <w:p>
      <w:pPr>
        <w:pStyle w:val="ListBullet"/>
      </w:pPr>
      <w:r>
        <w:rPr>
          <w:b/>
        </w:rPr>
        <w:t xml:space="preserve">Part IV — Execution &amp; State: </w:t>
      </w:r>
      <w:r>
        <w:t>how it was built, a module-by-module Built/Partial/Deferred matrix, deployment, trial readiness, roadmap.</w:t>
      </w:r>
    </w:p>
    <w:p>
      <w:pPr>
        <w:pStyle w:val="ListBullet"/>
      </w:pPr>
      <w:r>
        <w:rPr>
          <w:b/>
        </w:rPr>
        <w:t xml:space="preserve">Part V — Pitch Appendix: </w:t>
      </w:r>
      <w:r>
        <w:t>a ready-to-use narrative and slide outline for a pitch deck / PPT.</w:t>
      </w:r>
    </w:p>
    <w:p>
      <w:r>
        <w:rPr>
          <w:b/>
          <w:i w:val="0"/>
        </w:rPr>
        <w:t>Build-status legend used throughout: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Mark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Implemented and deployed in the current MVP.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🟡 Partial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Scaffolded / core path built; depth or live integration pending.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⛔ Deferred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Architecturally accommodated; not built in the MVP (planned later).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 — Vision &amp; Strategy</w:t>
      </w:r>
    </w:p>
    <w:p>
      <w:pPr>
        <w:pStyle w:val="Heading2"/>
      </w:pPr>
      <w:r>
        <w:t>2. Executive Summary</w:t>
      </w:r>
    </w:p>
    <w:p>
      <w:r>
        <w:rPr>
          <w:b w:val="0"/>
          <w:i w:val="0"/>
        </w:rPr>
        <w:t>PracticeSync is the complete operating system for Indian Chartered Accountancy firms. It replaces the disconnected stack a firm runs today — Tally, ClearTax/Winman, Excel, WhatsApp and physical files — with one integrated platform that understands both how the firm runs and how each client’s business runs.</w:t>
      </w:r>
    </w:p>
    <w:p>
      <w:r>
        <w:rPr>
          <w:b w:val="0"/>
          <w:i w:val="0"/>
        </w:rPr>
        <w:t>It is two products in one platform. The Firm Layer delivers cross-client scale (deadlines, work, team, pipeline, health, intelligence). The Client Layer delivers depth at scale (accounting, compliance, payroll, year-end, tax, documents, AI). The structural moat is a compounding, domain-specific client memory that grows richer every year a firm stays on the platform.</w:t>
      </w:r>
    </w:p>
    <w:p>
      <w:r>
        <w:rPr>
          <w:b w:val="0"/>
          <w:i w:val="0"/>
        </w:rPr>
        <w:t>The MVP build is complete and pilot-ready: the dual-layer workspace, double-entry accounting on a Schedule III chart of accounts, client-scoped GST/TDS/MCA/ITR compliance workspaces, payroll, year-end, documents with AI extraction, the Health Engine, relationship intelligence, an AI copilot/insights layer, revenue operations &amp; billing, a client portal, and an enterprise authorization/governance layer (“Practice OS”) with role-based + assignment-based access control, MFA and audit. Live government-portal filing is deliberately out of scope — the product prepares and the CA confirms; a clearly-labelled Demo Filing mode demonstrates the end-to-end workflow without ever submitting to a portal.</w:t>
      </w:r>
    </w:p>
    <w:p>
      <w:pPr>
        <w:pStyle w:val="Heading2"/>
      </w:pPr>
      <w:r>
        <w:t>3. The Master Principle — 10→100</w:t>
      </w:r>
    </w:p>
    <w:p>
      <w:r>
        <w:rPr>
          <w:b/>
          <w:i w:val="0"/>
        </w:rPr>
        <w:t>A Chartered Accountant who can manage 10 clients today must be able to manage 100 clients using PracticeSync without increasing operational complexity by 10x.</w:t>
      </w:r>
    </w:p>
    <w:p>
      <w:r>
        <w:rPr>
          <w:b w:val="0"/>
          <w:i w:val="0"/>
        </w:rPr>
        <w:t>This is not a feature; it is the lens for every decision. If a feature does not help a CA scale from 10 to 100 clients without proportional effort, it does not belong in the core product. If a design creates work that scales linearly with client count, it must be redesigned.</w:t>
      </w:r>
    </w:p>
    <w:p>
      <w:r>
        <w:rPr>
          <w:b w:val="0"/>
          <w:i w:val="0"/>
        </w:rPr>
        <w:t>Why the frame is right: at 10 clients a CA runs the practice on memory, WhatsApp and Excel. At 100 that breaks — memory cannot hold 100 client histories, WhatsApp cannot organise 100 conversations, Excel cannot track ~200–300 compliance events per month, and simultaneous missed deadlines become a professional crisis. The CA does not want 10x staff; they want a system that absorbs the coordination, memory, triage and routine.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/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At 10 clients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At 100 without PracticeSync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At 100 with PracticeSync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Deadlines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CA remembers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200–300 events/month — untrackable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Auto-aggregated firm-wide calendar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Triage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Intuition per client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Open all 100 daily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30-second Critical/At-Risk filter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Coordination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Manual per step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1,000+ workflow steps/month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Pipelines + automation; CA reviews key points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Memory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Recalls last year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500 client-years to recall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AI surfaces the right context at the right moment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Documents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Process by hand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1,000–2,000 docs/month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AI extracts → draft → CA confirms in ~30s</w:t>
            </w:r>
          </w:p>
        </w:tc>
      </w:tr>
    </w:tbl>
    <w:p/>
    <w:p>
      <w:pPr>
        <w:pStyle w:val="Heading2"/>
      </w:pPr>
      <w:r>
        <w:t>4. Market, Problem &amp; Why Now</w:t>
      </w:r>
    </w:p>
    <w:p>
      <w:r>
        <w:rPr>
          <w:b/>
          <w:i w:val="0"/>
        </w:rPr>
        <w:t>The problem.</w:t>
      </w:r>
    </w:p>
    <w:p>
      <w:pPr>
        <w:pStyle w:val="ListBullet"/>
      </w:pPr>
      <w:r>
        <w:t>Indian CA practices are capacity-bound: headcount, not demand, caps the clients a firm can serve well.</w:t>
      </w:r>
    </w:p>
    <w:p>
      <w:pPr>
        <w:pStyle w:val="ListBullet"/>
      </w:pPr>
      <w:r>
        <w:t>The tool stack is fragmented — accounting (Tally), filing (ClearTax/Winman/utilities), communication (WhatsApp/email), storage (Drive/physical) — with no shared source of truth.</w:t>
      </w:r>
    </w:p>
    <w:p>
      <w:pPr>
        <w:pStyle w:val="ListBullet"/>
      </w:pPr>
      <w:r>
        <w:t>Institutional knowledge lives in individuals; staff turnover creates immediate risk and a new hire takes months to learn a client.</w:t>
      </w:r>
    </w:p>
    <w:p>
      <w:pPr>
        <w:pStyle w:val="ListBullet"/>
      </w:pPr>
      <w:r>
        <w:t>Compliance is high-volume, deadline-dense and penalty-bearing; coordination failures are expensive and reputationally damaging.</w:t>
      </w:r>
    </w:p>
    <w:p>
      <w:r>
        <w:rPr>
          <w:b/>
          <w:i w:val="0"/>
        </w:rPr>
        <w:t>Why now.</w:t>
      </w:r>
    </w:p>
    <w:p>
      <w:pPr>
        <w:pStyle w:val="ListBullet"/>
      </w:pPr>
      <w:r>
        <w:t>Government rails are increasingly API-accessible via licensed intermediaries (GSP for GST/e-invoice/e-way, ERI for income tax) and consent rails (Account Aggregator; GSTN itself a data provider).</w:t>
      </w:r>
    </w:p>
    <w:p>
      <w:pPr>
        <w:pStyle w:val="ListBullet"/>
      </w:pPr>
      <w:r>
        <w:t>LLM document intelligence has crossed the threshold of reliable structured extraction, making the document bottleneck addressable.</w:t>
      </w:r>
    </w:p>
    <w:p>
      <w:pPr>
        <w:pStyle w:val="ListBullet"/>
      </w:pPr>
      <w:r>
        <w:t>The DPDP Act 2023 makes consent-based, auditable data handling a baseline expectation — favouring a purpose-built platform over ad-hoc tooling.</w:t>
      </w:r>
    </w:p>
    <w:p>
      <w:pPr>
        <w:pStyle w:val="Heading2"/>
      </w:pPr>
      <w:r>
        <w:t>5. Competitive Positioning &amp; The Moat</w:t>
      </w:r>
    </w:p>
    <w:p>
      <w:r>
        <w:rPr>
          <w:b w:val="0"/>
          <w:i w:val="0"/>
        </w:rPr>
        <w:t>Existing tools occupy slices: accounting (Tally, Zoho Books), GST/compliance filing (ClearTax, Winman, KDK) and generic practice/work management (Karbon-style). None unify the Firm Layer and Client Layer with a compounding memory and end-to-end Indian year-end accounts production. PracticeSync’s defensible position is the integration plus the memory moat — not any single module.</w:t>
      </w:r>
    </w:p>
    <w:p>
      <w:r>
        <w:rPr>
          <w:b/>
          <w:i w:val="0"/>
        </w:rPr>
        <w:t>The compounding moat.</w:t>
      </w:r>
    </w:p>
    <w:p>
      <w:r>
        <w:rPr>
          <w:b w:val="0"/>
          <w:i w:val="0"/>
        </w:rPr>
        <w:t>Year 1 profiles are shallow (reminders only); by Year 3 the system knows each client’s year-end “DNA”; by Year 5 a new hire inherits years of institutional knowledge on day one. A competitor starting later cannot reconstruct this history. The moat is the structured, compounding client memory — not the LLM, which is a replaceable component behind an interface.</w:t>
      </w:r>
    </w:p>
    <w:p>
      <w:pPr>
        <w:pStyle w:val="Heading2"/>
      </w:pPr>
      <w:r>
        <w:t>6. Target Users &amp; Personas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Persona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Primary jobs-to-be-done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Managing Partner / Owner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Runs the firm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Triage risk across all clients in minutes; protect against missed deadlines; manage team capacity, billing, renewals, growth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Partner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Owns client relationships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Review and sign off; assign work; manage portfolio health; client meetings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Manager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Runs client delivery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Coordinate work items; manage staff; communicate with clients; ensure quality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Executive / Article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Executes work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Post entries, prepare returns, complete checklist tasks, upload documents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Reviewer / Auditor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Read-only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Inspect records and trail without modifying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Client (Portal)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The firm’s customer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Upload documents on request, approve, message, see what is pending</w:t>
            </w:r>
          </w:p>
        </w:tc>
      </w:tr>
    </w:tbl>
    <w:p/>
    <w:p>
      <w:r>
        <w:rPr>
          <w:b w:val="0"/>
          <w:i/>
        </w:rPr>
        <w:t>Design implication: the buyer and power user is the Partner/Owner — the Firm Layer must earn their trust in the first 30 seconds of the day (the Home triage screen). The client (portal) user is the hardest to retain — hence WhatsApp as a first-class channel.</w:t>
      </w:r>
    </w:p>
    <w:p>
      <w:r>
        <w:rPr>
          <w:b w:val="0"/>
          <w:i/>
          <w:color w:val="475569"/>
        </w:rPr>
        <w:t>Note (as-built): the implemented role model unifies to five firm roles — Partner, Manager, Executive, Reviewer, Client — with Owner mapped to Partner.</w:t>
      </w:r>
    </w:p>
    <w:p>
      <w:r>
        <w:br w:type="page"/>
      </w:r>
    </w:p>
    <w:p>
      <w:pPr>
        <w:pStyle w:val="Heading1"/>
      </w:pPr>
      <w:r>
        <w:t>PART II — The Product</w:t>
      </w:r>
    </w:p>
    <w:p>
      <w:pPr>
        <w:pStyle w:val="Heading2"/>
      </w:pPr>
      <w:r>
        <w:t>7. Product Scope</w:t>
      </w:r>
    </w:p>
    <w:p>
      <w:r>
        <w:rPr>
          <w:b/>
          <w:i w:val="0"/>
        </w:rPr>
        <w:t>The dual-layer model.</w:t>
      </w:r>
    </w:p>
    <w:p>
      <w:pPr>
        <w:pStyle w:val="ListBullet"/>
      </w:pPr>
      <w:r>
        <w:rPr>
          <w:b/>
        </w:rPr>
        <w:t xml:space="preserve">Firm Layer — </w:t>
      </w:r>
      <w:r>
        <w:t>how the firm manages its practice across all clients: Home (triage), Clients, Deadlines, Work, Team, AI, Settings. Where 10→100 scale is achieved.</w:t>
      </w:r>
    </w:p>
    <w:p>
      <w:pPr>
        <w:pStyle w:val="ListBullet"/>
      </w:pPr>
      <w:r>
        <w:rPr>
          <w:b/>
        </w:rPr>
        <w:t xml:space="preserve">Client Layer — </w:t>
      </w:r>
      <w:r>
        <w:t>how the CA works inside each client’s business: Overview (Timeline), Accounting, Compliance, Payroll, Year End, Tax, Documents, Tasks, Reports, Portal, AI Insights. Where depth is maintained at scale. Entering a client is a context switch, not a navigation click — “you are now inside ABC Pvt Ltd.”</w:t>
      </w:r>
    </w:p>
    <w:p>
      <w:r>
        <w:rPr>
          <w:b/>
          <w:i w:val="0"/>
        </w:rPr>
        <w:t>In scope (v1 frozen core).</w:t>
      </w:r>
    </w:p>
    <w:p>
      <w:pPr>
        <w:pStyle w:val="ListBullet"/>
      </w:pPr>
      <w:r>
        <w:t>Full double-entry accounting on a Schedule III chart of accounts; immutable journals; live financial statements.</w:t>
      </w:r>
    </w:p>
    <w:p>
      <w:pPr>
        <w:pStyle w:val="ListBullet"/>
      </w:pPr>
      <w:r>
        <w:t>Client-scoped compliance: GST (incl. IMS-aware 2B reconciliation), TDS, MCA/ROC preparation, professional tax.</w:t>
      </w:r>
    </w:p>
    <w:p>
      <w:pPr>
        <w:pStyle w:val="ListBullet"/>
      </w:pPr>
      <w:r>
        <w:t>Payroll with auto-posted journals and statutory outputs (PF/ESI/PT, 24Q feed).</w:t>
      </w:r>
    </w:p>
    <w:p>
      <w:pPr>
        <w:pStyle w:val="ListBullet"/>
      </w:pPr>
      <w:r>
        <w:t>End-to-end year-end accounts production (10-phase workflow, auto-generated schedules and notes).</w:t>
      </w:r>
    </w:p>
    <w:p>
      <w:pPr>
        <w:pStyle w:val="ListBullet"/>
      </w:pPr>
      <w:r>
        <w:t>Tax computation, advance tax, ITR preparation, notices/assessments register; AIS/TIS and 26AS reconciliation.</w:t>
      </w:r>
    </w:p>
    <w:p>
      <w:pPr>
        <w:pStyle w:val="ListBullet"/>
      </w:pPr>
      <w:r>
        <w:t>Document Intelligence (ingestion to draft records; generation with provenance).</w:t>
      </w:r>
    </w:p>
    <w:p>
      <w:pPr>
        <w:pStyle w:val="ListBullet"/>
      </w:pPr>
      <w:r>
        <w:t>Timeline (episodic memory), Health Engine (7-dimension triage), AI memory and trigger engine.</w:t>
      </w:r>
    </w:p>
    <w:p>
      <w:pPr>
        <w:pStyle w:val="ListBullet"/>
      </w:pPr>
      <w:r>
        <w:t>Relationship Intelligence with cross-client entity detection.</w:t>
      </w:r>
    </w:p>
    <w:p>
      <w:pPr>
        <w:pStyle w:val="ListBullet"/>
      </w:pPr>
      <w:r>
        <w:t>Client lifecycle: lead → prospect → onboarding → active → year-end → renewal → dormant → exit.</w:t>
      </w:r>
    </w:p>
    <w:p>
      <w:pPr>
        <w:pStyle w:val="ListBullet"/>
      </w:pPr>
      <w:r>
        <w:t>Work management: work items, pipelines, automation, time tracking.</w:t>
      </w:r>
    </w:p>
    <w:p>
      <w:pPr>
        <w:pStyle w:val="ListBullet"/>
      </w:pPr>
      <w:r>
        <w:t>Client Portal with separate authentication; WhatsApp Business API as a parallel channel.</w:t>
      </w:r>
    </w:p>
    <w:p>
      <w:pPr>
        <w:pStyle w:val="ListBullet"/>
      </w:pPr>
      <w:r>
        <w:t>Revenue Operations &amp; Billing; Knowledge Base; Firm-as-Internal-Client (v1.1 amendments).</w:t>
      </w:r>
    </w:p>
    <w:p>
      <w:pPr>
        <w:pStyle w:val="ListBullet"/>
      </w:pPr>
      <w:r>
        <w:t>Signing layer (DSC orchestration + Aadhaar eSign) and UDIN; DPDP consent/rights/retention; Tally one-way import; AA-ready ingestion abstraction.</w:t>
      </w:r>
    </w:p>
    <w:p>
      <w:r>
        <w:rPr>
          <w:b/>
          <w:i w:val="0"/>
        </w:rPr>
        <w:t>Out of scope (deferred, architecturally accommodated).</w:t>
      </w:r>
    </w:p>
    <w:p>
      <w:pPr>
        <w:pStyle w:val="ListBullet"/>
      </w:pPr>
      <w:r>
        <w:t>Autonomous / direct submission to any government portal (always CA-confirmed; MCA remains portal + DSC).</w:t>
      </w:r>
    </w:p>
    <w:p>
      <w:pPr>
        <w:pStyle w:val="ListBullet"/>
      </w:pPr>
      <w:r>
        <w:t>Live Account Aggregator FIU integration (abstraction built; live pipe phased).</w:t>
      </w:r>
    </w:p>
    <w:p>
      <w:pPr>
        <w:pStyle w:val="ListBullet"/>
      </w:pPr>
      <w:r>
        <w:t>Tally two-way sync; consolidated group accounts; international tax / transfer pricing.</w:t>
      </w:r>
    </w:p>
    <w:p>
      <w:pPr>
        <w:pStyle w:val="ListBullet"/>
      </w:pPr>
      <w:r>
        <w:t>Native firm-side mobile app (portal is mobile-first PWA); multi-currency; multi-country.</w:t>
      </w:r>
    </w:p>
    <w:p>
      <w:pPr>
        <w:pStyle w:val="ListBullet"/>
      </w:pPr>
      <w:r>
        <w:t>Deep practice-profitability analytics and the advisory product (later phases).</w:t>
      </w:r>
    </w:p>
    <w:p>
      <w:pPr>
        <w:pStyle w:val="Heading2"/>
      </w:pPr>
      <w:r>
        <w:t>8. Core Principles (Non-Negotiable)</w:t>
      </w:r>
    </w:p>
    <w:p>
      <w:r>
        <w:rPr>
          <w:b w:val="0"/>
          <w:i/>
        </w:rPr>
        <w:t>These are hard constraints. A requirement that violates a principle is wrong — not the principle.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Principle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What it means in product terms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 confirms, system executes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The system prepares, computes, drafts and suggests; the CA reviews and confirms. Every government-portal interaction is gated by an explicit review step. No autonomous submission, ever.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Paise, never float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All money stored as integer paise (bigint), columns suffixed _paise. No float arithmetic for financial values.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Journals are immutable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Posted journals are never edited or deleted — only reversed by counter-entry. Enforced at the database level.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Every action is a Timeline event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Append-only institutional memory; soft-delete with audit only.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The Client-OS mental model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Entering a client is a workspace change, not a record view. Consistent structure for every client.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Data sovereignty via RLS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Row-Level Security enforces firm and client isolation at the database — first line of defence.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Indian standards are defaults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Schedule III, Indian number format, GSTIN/PAN validation, April–March FY, statutory due dates.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AI surfaces, humans decide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Every insight states what was detected, the evidence, and the recommended action. Never autonomous.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Fewer, better insights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Surface only at high confidence and relevant timing. Crying wolf is worse than silence.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Automation runs compliance, CAs run judgement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Templates/pipelines/automation handle the sequence; the CA applies judgement at decision points.</w:t>
            </w:r>
          </w:p>
        </w:tc>
      </w:tr>
    </w:tbl>
    <w:p/>
    <w:p>
      <w:pPr>
        <w:pStyle w:val="Heading2"/>
      </w:pPr>
      <w:r>
        <w:t>9. Firm Layer — Features &amp; Build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Feature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Home — Command Centre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Triage view (not a metrics dashboard): overdue deadlines, overdue work across clients, pending portal actions, AI alerts, quick actions. Every item deep-links to its work surface.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Clients — Command List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All clients with entity type, GSTIN, lifecycle stage, Health Score + trend, most-critical issue, open-work count; filters by health/stage/type; pipeline view.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Deadlines — Compliance Calendar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Aggregates all deadlines across clients &amp; GSTINs; calendar/list/by-client/by-type; &lt;7d amber, &lt;3d red; bulk actions; Demo Filing workflow.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Work — Work Engine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Work item = one deliverable for one client in one period; pipelines with per-stage automation; templates; Kanban/My/Team/Overdue views; time tracking.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Team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Member directory with roles, assigned clients, last active; workload/capacity view; client-assignment administration.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AI (Firm Layer)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Daily briefing / copilot surfacing high-confidence items: client/compliance/team risk, cross-client patterns, revenue intelligence.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Pipeline / Lifecycle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Lead → prospect → onboarding → active → renewal → dormant → exit, with conversion stats.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</w:tbl>
    <w:p/>
    <w:p>
      <w:pPr>
        <w:pStyle w:val="Heading2"/>
      </w:pPr>
      <w:r>
        <w:t>10. Client Layer — Features &amp; Build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Overview (Timeline)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Health score + quick stats + pinned items + chronological, human-readable event feed. Understand any client in &lt;60s.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Accounting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Schedule III CoA, double-entry guarantee, banking (import + matching), sales, purchases (TDS flags), journals, ledger, fixed assets (SLM/WDV), reconciliations, live Schedule III reports.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Compliance — GST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GSTR-1 / GSTR-3B / GSTR-9 workspaces, 2B reconciliation, filing history with ARN. Preparation; CA-confirmed.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 (prep)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Compliance — TDS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Deductee master, deduction register (24Q/26Q), challan tracker, return prep, 26AS recon, Form 16/16A.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 (prep)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Compliance — MCA/ROC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Company master, directors/DIN, annual (AOC-4/MGT-7/ADT-1) and event filings; XBRL prep; submission via portal + DSC.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 (prep)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Tax / ITR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Computation (disallowances w/ sections, Chapter VI-A, b/f losses), advance tax tracker, ITR prep, notices/assessments, AIS/26AS.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 (prep)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Payroll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Employees (incl. Aadhaar last-4), salary structures (PF/ESI/PT), runs (draft→review→finalise), payslips, statutory outputs, auto-journals, 24Q feed.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Year End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10-phase workflow (planning→close→adjustments→TB→tax→statements→audit→finalise→file→archive); auto schedules + notes; XBRL.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Documents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Inbox, AI extraction to draft records (provenance + staleness), generated documents, upload/download/parse.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Tasks / Reports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Client tasks and internal notes; all financial &amp; compliance reports live from ledger data.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Portal &amp; AI Insights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Client portal (document requests/upload, approvals, messaging) on separate auth; AI insights feed with evidence + action. Clients never see the Health Score.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Bulk Import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CSV/XLSX import for customers, vendors, sales invoices, purchase bills, receipts and employees — reusing existing create workflows.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</w:tbl>
    <w:p/>
    <w:p>
      <w:r>
        <w:rPr>
          <w:b w:val="0"/>
          <w:i/>
          <w:color w:val="475569"/>
        </w:rPr>
        <w:t>“Built (prep)” means the preparation/computation and CA-confirmation workflow is implemented; live submission to the government portal is intentionally not performed (Principle #1). The Demo Filing mode demonstrates the full prepare→validate→file→acknowledge workflow with clearly-labelled demo references and never contacts a portal.</w:t>
      </w:r>
    </w:p>
    <w:p>
      <w:pPr>
        <w:pStyle w:val="Heading2"/>
      </w:pPr>
      <w:r>
        <w:t>11. Practice Operating System (“Module 9”) — Enterprise Access Control &amp; Governance</w:t>
      </w:r>
    </w:p>
    <w:p>
      <w:r>
        <w:rPr>
          <w:b w:val="0"/>
          <w:i w:val="0"/>
        </w:rPr>
        <w:t>PracticeSync layers a firm-grade access-control and governance system over the product so a multi-person firm can operate safely. This was delivered as a dedicated programme (M1–M6).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Role model (RBAC)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Five roles — Partner &gt; Manager &gt; Executive &gt; Reviewer &gt; Client — with a least-privilege permission matrix per resource/action.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Assignment scope (ABAC)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Partner is firm-wide; Manager/Executive/Reviewer/Client see only clients explicitly assigned to them. Unauthorised client access returns 404 (existence not disclosed).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Dual-layer enforcement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Application-layer guards (RBAC + assignment) AND database Row-Level Security policies (assignment-scoped) — defence in depth.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Governance / approvals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Maker-checker approval workflows for sensitive actions.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Identity administration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Server-side, audited user administration; client-assignment management; login history.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Audit log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Append-only, immutable audit trail of significant actions.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MFA enforcement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TOTP multi-factor authentication — enrollment UI (QR + verify) and a login challenge; enforced for sensitive roles behind a flag.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 (flag-gated)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Per-user JWT cutover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Backend can run DB access as the end-user (RLS-enforced) rather than service-role; shipped behind a flag, RLS-validated against the 7-persona matrix.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✅ Built (flag-gated)</w:t>
            </w:r>
          </w:p>
        </w:tc>
      </w:tr>
    </w:tbl>
    <w:p/>
    <w:p>
      <w:r>
        <w:rPr>
          <w:b w:val="0"/>
          <w:i/>
        </w:rPr>
        <w:t>Authorization was independently validated with a 7-persona matrix (Partner; Manager A/B; Executive A/B; Client A/B): cross-client and cross-manager access is denied for reads, writes, search, analytics, documents, AI, imports and approvals; Partner remains firm-wide.</w:t>
      </w:r>
    </w:p>
    <w:p>
      <w:pPr>
        <w:pStyle w:val="Heading2"/>
      </w:pPr>
      <w:r>
        <w:t>12. Revenue Operations, Firm-as-Internal-Client &amp; Knowledge Base (Amendments v1.1)</w:t>
      </w:r>
    </w:p>
    <w:p>
      <w:pPr>
        <w:pStyle w:val="ListBullet"/>
      </w:pPr>
      <w:r>
        <w:rPr>
          <w:b/>
        </w:rPr>
        <w:t xml:space="preserve">Revenue Operations &amp; Billing — </w:t>
      </w:r>
      <w:r>
        <w:t>recurring fee billing schedules, invoices, collections and AR — a thin orchestration over accounting. ✅ Built.</w:t>
      </w:r>
    </w:p>
    <w:p>
      <w:pPr>
        <w:pStyle w:val="ListBullet"/>
      </w:pPr>
      <w:r>
        <w:rPr>
          <w:b/>
        </w:rPr>
        <w:t xml:space="preserve">Firm-as-Internal-Client — </w:t>
      </w:r>
      <w:r>
        <w:t>the CA firm itself is modelled as a single internal client so it can use the full stack (accounting/GST/TDS/documents/reports/billing) for its own books. Four guardrails (G1–G4): Partner-only access, exclusion from client-population surfaces, single linked customer, and module cap (no payroll/HR for the internal entity). ✅ Built.</w:t>
      </w:r>
    </w:p>
    <w:p>
      <w:pPr>
        <w:pStyle w:val="ListBullet"/>
      </w:pPr>
      <w:r>
        <w:rPr>
          <w:b/>
        </w:rPr>
        <w:t xml:space="preserve">Knowledge Base — </w:t>
      </w:r>
      <w:r>
        <w:t>a lightweight firm/client knowledge store. ✅ Built.</w:t>
      </w:r>
    </w:p>
    <w:p>
      <w:pPr>
        <w:pStyle w:val="ListBullet"/>
      </w:pPr>
      <w:r>
        <w:rPr>
          <w:b/>
        </w:rPr>
        <w:t xml:space="preserve">Practice / Revenue Intelligence — </w:t>
      </w:r>
      <w:r>
        <w:t>deep profitability analytics. ⛔ Deferred (analytics foundation accommodated).</w:t>
      </w:r>
    </w:p>
    <w:p>
      <w:pPr>
        <w:pStyle w:val="Heading2"/>
      </w:pPr>
      <w:r>
        <w:t>13. AI, Memory &amp; The Health Engine</w:t>
      </w:r>
    </w:p>
    <w:p>
      <w:r>
        <w:rPr>
          <w:b/>
          <w:i w:val="0"/>
        </w:rPr>
        <w:t>Three-layer memory.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Mechanism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Output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Episodic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Timeline (append-only)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Raw, timestamped, attributed events — the raw material of intelligence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Semantic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Nightly batch over episodic + financial data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Per-client and per-firm JSONB profiles (behaviour, compliance history, financial patterns, recurring issues, year-end patterns)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Predictive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Trigger engine on conditions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Insights with detection, evidence and recommended action (repeat-issue, deadline-at-risk, cash-flow, year-end readiness, anomaly)</w:t>
            </w:r>
          </w:p>
        </w:tc>
      </w:tr>
    </w:tbl>
    <w:p/>
    <w:p>
      <w:r>
        <w:rPr>
          <w:b/>
          <w:i w:val="0"/>
        </w:rPr>
        <w:t>Health Engine.</w:t>
      </w:r>
    </w:p>
    <w:p>
      <w:r>
        <w:rPr>
          <w:b w:val="0"/>
          <w:i w:val="0"/>
        </w:rPr>
        <w:t>A multi-dimension model (target: Compliance 25%, Accounting 20%, Work 15%, Documents 15%, AI Risk 10%, Notices 10%, Responsiveness 5%) producing a composite score for sorting and per-dimension diagnosis, with hard overrides that force “Critical” regardless of composite (e.g. a missed notice deadline). The score reads from source data (ungameable), trends over time, and is never shown to clients. The MVP computes the compliance dimension and several others; remaining dimensions default to neutral until their data sources are populated.</w:t>
      </w:r>
    </w:p>
    <w:p>
      <w:r>
        <w:br w:type="page"/>
      </w:r>
    </w:p>
    <w:p>
      <w:pPr>
        <w:pStyle w:val="Heading1"/>
      </w:pPr>
      <w:r>
        <w:t>PART III — Technology</w:t>
      </w:r>
    </w:p>
    <w:p>
      <w:pPr>
        <w:pStyle w:val="Heading2"/>
      </w:pPr>
      <w:r>
        <w:t>14. Architecture Overview</w:t>
      </w:r>
    </w:p>
    <w:p>
      <w:r>
        <w:rPr>
          <w:b w:val="0"/>
          <w:i w:val="0"/>
        </w:rPr>
        <w:t>PracticeSync is a multi-tenant SaaS. A tenant is a CA firm. Within a firm, all data is scoped by firm_id; client data is further scoped by client_id. The two logical layers (Firm and Client) sit over one shared backend — the layer distinction is a presentation/authorisation concern, not separate datastores. Platform services (Timeline, Document Intelligence, Health, AI Memory, Trigger Engine, Rule Engine, Notifications) are consumed by every module. An Integration Gateway isolates all government/third-party rails behind internal interfaces so providers can be swapped.</w:t>
      </w:r>
    </w:p>
    <w:p>
      <w:pPr>
        <w:pStyle w:val="Heading2"/>
      </w:pPr>
      <w:r>
        <w:t>15. Technology Stack (as built)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Choice (as built)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Rationale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Next.js 14 (App Router) + TypeScript + Tailwind + shadcn/ui, deployed on Cloudflare Pages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Desktop-optimised firm experience; mobile-first PWA portal; fast global edge delivery.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FastAPI (Python 3.11) on Render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Server-enforced invariants (double-entry, period-lock, paise); clear service/repository structure.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PostgreSQL via Supabase + Row-Level Security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Firm/client isolation at the database as the first line of defence; relational guarantees for financial data.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Supabase Auth (firm users) + separate client-portal audience; MFA (TOTP)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 client can never hold a firm-user session; aal2 enforced for sensitive roles.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AI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Groq (llama-3.3-70b) behind a provider interface; tiered rules + LLM extraction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LLM is replaceable; supports masking/region controls for data governance.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Storage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Supabase Storage (encrypted)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Documents and generated artefacts with provenance.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Jobs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Scheduled workers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Nightly profiles, daily health, deadline arithmetic, lifecycle triggers.</w:t>
            </w:r>
          </w:p>
        </w:tc>
      </w:tr>
    </w:tbl>
    <w:p/>
    <w:p>
      <w:r>
        <w:rPr>
          <w:b w:val="0"/>
          <w:i/>
          <w:color w:val="475569"/>
        </w:rPr>
        <w:t>Note: the original TRD imagined a TypeScript backend service layer; the delivered implementation uses a FastAPI/Python backend. All hard invariants (RLS, paise, immutability, period control, CA-confirm gate) are preserved — the language choice does not change the architecture.</w:t>
      </w:r>
    </w:p>
    <w:p>
      <w:pPr>
        <w:pStyle w:val="Heading2"/>
      </w:pPr>
      <w:r>
        <w:t>16. Data Architecture &amp; Schema</w:t>
      </w:r>
    </w:p>
    <w:p>
      <w:r>
        <w:rPr>
          <w:b w:val="0"/>
          <w:i w:val="0"/>
        </w:rPr>
        <w:t>The schema spans ~25 domains: Firm/Users/Access; Work &amp; Pipelines; Client Management &amp; Lifecycle; Accounting; Banking/Sales/Purchases; Compliance (GST IMS-aware, TDS, MCA); Tax; Payroll; Year-End; Documents; Timeline (episodic memory); Relationship Intelligence; Health Engine; AI Memory; Client Portal; Signing &amp; UDIN; DPDP Consent &amp; Data Rights; Account-Aggregator-ready ingestion; WhatsApp/Messaging; Tally import; and a versioned Compliance Rule Engine.</w:t>
      </w:r>
    </w:p>
    <w:p>
      <w:r>
        <w:rPr>
          <w:b/>
          <w:i w:val="0"/>
        </w:rPr>
        <w:t>Enforcement layer (hard constraints).</w:t>
      </w:r>
    </w:p>
    <w:p>
      <w:pPr>
        <w:pStyle w:val="ListBullet"/>
      </w:pPr>
      <w:r>
        <w:t>Multi-tenancy &amp; RLS: every firm-scoped table validates the requester’s firm; financial tables additionally check the user’s client assignment.</w:t>
      </w:r>
    </w:p>
    <w:p>
      <w:pPr>
        <w:pStyle w:val="ListBullet"/>
      </w:pPr>
      <w:r>
        <w:t>Immutability &amp; period control: triggers reject UPDATE/DELETE on posted journals/finalised records; writes to locked periods are rejected except via a logged senior-override path.</w:t>
      </w:r>
    </w:p>
    <w:p>
      <w:pPr>
        <w:pStyle w:val="ListBullet"/>
      </w:pPr>
      <w:r>
        <w:t>Integrity invariants: balanced-journal (sum debit = sum credit) enforced server-side; GSTIN/PAN/DIN/CIN format validation at write time; April–March FY default.</w:t>
      </w:r>
    </w:p>
    <w:p>
      <w:pPr>
        <w:pStyle w:val="ListBullet"/>
      </w:pPr>
      <w:r>
        <w:t>Paise always: monetary columns are bigint integer paise; no float in money paths.</w:t>
      </w:r>
    </w:p>
    <w:p>
      <w:pPr>
        <w:pStyle w:val="ListBullet"/>
      </w:pPr>
      <w:r>
        <w:t>Append-only audit: Timeline events and audit entries are written once; soft-delete only.</w:t>
      </w:r>
    </w:p>
    <w:p>
      <w:pPr>
        <w:pStyle w:val="Heading2"/>
      </w:pPr>
      <w:r>
        <w:t>17. Security, Privacy &amp; Compliance</w:t>
      </w:r>
    </w:p>
    <w:p>
      <w:pPr>
        <w:pStyle w:val="ListBullet"/>
      </w:pPr>
      <w:r>
        <w:rPr>
          <w:b/>
        </w:rPr>
        <w:t xml:space="preserve">Identity &amp; access — </w:t>
      </w:r>
      <w:r>
        <w:t>five least-privilege firm roles; staff access requires an explicit client assignment; the portal is a separate auth audience.</w:t>
      </w:r>
    </w:p>
    <w:p>
      <w:pPr>
        <w:pStyle w:val="ListBullet"/>
      </w:pPr>
      <w:r>
        <w:rPr>
          <w:b/>
        </w:rPr>
        <w:t xml:space="preserve">Authorization — </w:t>
      </w:r>
      <w:r>
        <w:t>RBAC (role×resource×action) + ABAC (client assignment) at the API, AND assignment-scoped RLS at the database. Validated with a 7-persona matrix.</w:t>
      </w:r>
    </w:p>
    <w:p>
      <w:pPr>
        <w:pStyle w:val="ListBullet"/>
      </w:pPr>
      <w:r>
        <w:rPr>
          <w:b/>
        </w:rPr>
        <w:t xml:space="preserve">MFA — </w:t>
      </w:r>
      <w:r>
        <w:t>TOTP enrollment (QR + verify) and a login challenge; aal2 enforced for sensitive roles (flag-gated).</w:t>
      </w:r>
    </w:p>
    <w:p>
      <w:pPr>
        <w:pStyle w:val="ListBullet"/>
      </w:pPr>
      <w:r>
        <w:rPr>
          <w:b/>
        </w:rPr>
        <w:t xml:space="preserve">Per-user JWT — </w:t>
      </w:r>
      <w:r>
        <w:t>optional cutover so the backend runs DB access as the end-user under RLS (flag-gated; RLS validated).</w:t>
      </w:r>
    </w:p>
    <w:p>
      <w:pPr>
        <w:pStyle w:val="ListBullet"/>
      </w:pPr>
      <w:r>
        <w:rPr>
          <w:b/>
        </w:rPr>
        <w:t xml:space="preserve">Data protection — </w:t>
      </w:r>
      <w:r>
        <w:t>encryption in transit and at rest; documents in encrypted storage; secrets in a managed store.</w:t>
      </w:r>
    </w:p>
    <w:p>
      <w:pPr>
        <w:pStyle w:val="ListBullet"/>
      </w:pPr>
      <w:r>
        <w:rPr>
          <w:b/>
        </w:rPr>
        <w:t xml:space="preserve">DPDP — </w:t>
      </w:r>
      <w:r>
        <w:t>consent records (esp. portal/AA), data-principal rights, breach-notification process, retention engine, Aadhaar stored masked (last-4) only.</w:t>
      </w:r>
    </w:p>
    <w:p>
      <w:pPr>
        <w:pStyle w:val="ListBullet"/>
      </w:pPr>
      <w:r>
        <w:rPr>
          <w:b/>
        </w:rPr>
        <w:t xml:space="preserve">Auditability — </w:t>
      </w:r>
      <w:r>
        <w:t>immutable financial records + append-only Timeline allow full reconstruction of any client’s and any year-end’s history from the trail alone.</w:t>
      </w:r>
    </w:p>
    <w:p>
      <w:pPr>
        <w:pStyle w:val="Heading2"/>
      </w:pPr>
      <w:r>
        <w:t>18. Integrations &amp; Compliance API Strategy</w:t>
      </w:r>
    </w:p>
    <w:p>
      <w:r>
        <w:rPr>
          <w:b/>
          <w:i w:val="0"/>
        </w:rPr>
        <w:t>The guardrail that governs every rail: PracticeSync prepares; the CA confirms; the system executes only after an explicit, logged confirmation. No autonomous submission to any government portal, ever.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Rail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Strategy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GST / e-invoice / e-way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Via a licensed GSP (PracticeSync as ASP); every file() call passes the CA-confirm gate.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⛔ Deferred (prep + Demo Filing built)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Income Tax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ERI (Type-2) regime; consent + taxpayer-OTP; never store portal passwords.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⛔ Deferred (prep built)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MCA / ROC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Prepare + XBRL-tag; submission via portal + DSC (no open filing API assumed).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🟡 Prep + XBRL built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TRACES / 26AS, AIS/TIS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Reconciliation on ingested data.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🟡 Partial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Account Aggregator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Ingestion abstraction built; live FIU pipe registration-gated.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⛔ Deferred (abstraction ready)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Signing — eSign + DSC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Aadhaar eSign for non-DSC docs; DSC orchestration for statutory filings (the real 10→100 wall).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🟡 Scaffolded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UDIN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Generation/tracking in attestation workflows.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🟡 Partial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WhatsApp Business API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Outbound (requests/reminders/approvals) + inbound mirrored to portal &amp; Timeline.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🟡 Partial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Tally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One-way import to staging → mapped → draft records for CA confirmation.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🟡 Partial</w:t>
            </w:r>
          </w:p>
        </w:tc>
      </w:tr>
    </w:tbl>
    <w:p/>
    <w:p>
      <w:r>
        <w:rPr>
          <w:b w:val="0"/>
          <w:i/>
        </w:rPr>
        <w:t>Build-vs-partner: the rails are licensing/lead-time heavy (GSP/ERI/AA-TSP/eSign). The product is designed with provider adapters behind internal interfaces so a partner can be swapped without app changes, and a prepare-and-handoff fallback always exists so a CA is never blocked by an upstream outage.</w:t>
      </w:r>
    </w:p>
    <w:p>
      <w:pPr>
        <w:pStyle w:val="Heading2"/>
      </w:pPr>
      <w:r>
        <w:t>19. AI Architecture</w:t>
      </w:r>
    </w:p>
    <w:p>
      <w:pPr>
        <w:pStyle w:val="ListBullet"/>
      </w:pPr>
      <w:r>
        <w:t>Three layers: episodic (Timeline) → semantic (nightly JSONB profiles) → predictive (trigger engine).</w:t>
      </w:r>
    </w:p>
    <w:p>
      <w:pPr>
        <w:pStyle w:val="ListBullet"/>
      </w:pPr>
      <w:r>
        <w:t>Tiered extraction: Tier-1 rules/templates for standard documents at near-zero cost; Tier-2 LLM only on Tier-1 miss; every extraction cached by content hash.</w:t>
      </w:r>
    </w:p>
    <w:p>
      <w:pPr>
        <w:pStyle w:val="ListBullet"/>
      </w:pPr>
      <w:r>
        <w:t>Data governance: sensitive identifiers masked/redacted before LLM inference, or India-region/self-hosted inference; provider configurable per firm.</w:t>
      </w:r>
    </w:p>
    <w:p>
      <w:pPr>
        <w:pStyle w:val="ListBullet"/>
      </w:pPr>
      <w:r>
        <w:t>Insight discipline: insights fire only at high confidence and relevant timing; the CA can act, dismiss or suppress by type; no insight triggers autonomous action.</w:t>
      </w:r>
    </w:p>
    <w:p>
      <w:pPr>
        <w:pStyle w:val="Heading2"/>
      </w:pPr>
      <w:r>
        <w:t>20. UI/UX Design System</w:t>
      </w:r>
    </w:p>
    <w:p>
      <w:pPr>
        <w:pStyle w:val="ListBullet"/>
      </w:pPr>
      <w:r>
        <w:rPr>
          <w:b/>
        </w:rPr>
        <w:t xml:space="preserve">Navigation — </w:t>
      </w:r>
      <w:r>
        <w:t>a fixed Firm-Layer sidebar; entering a client is a full context switch (sidebar + header transform; URL becomes /clients/[id]/[section]) with a persistent “Back to Firm.”</w:t>
      </w:r>
    </w:p>
    <w:p>
      <w:pPr>
        <w:pStyle w:val="ListBullet"/>
      </w:pPr>
      <w:r>
        <w:rPr>
          <w:b/>
        </w:rPr>
        <w:t xml:space="preserve">Visual language — </w:t>
      </w:r>
      <w:r>
        <w:t>clean, dense, professional; Indian number formatting (lakh/crore); money right-aligned and monospaced; restrained colour with clear status semantics (amber/red deadlines).</w:t>
      </w:r>
    </w:p>
    <w:p>
      <w:pPr>
        <w:pStyle w:val="ListBullet"/>
      </w:pPr>
      <w:r>
        <w:rPr>
          <w:b/>
        </w:rPr>
        <w:t xml:space="preserve">Core components — </w:t>
      </w:r>
      <w:r>
        <w:t>command list, triage cards, work-item pipelines/Kanban, timeline feed, document-review panel, health-score visualisation, import modal.</w:t>
      </w:r>
    </w:p>
    <w:p>
      <w:pPr>
        <w:pStyle w:val="ListBullet"/>
      </w:pPr>
      <w:r>
        <w:rPr>
          <w:b/>
        </w:rPr>
        <w:t xml:space="preserve">Portal &amp; mobile — </w:t>
      </w:r>
      <w:r>
        <w:t>the client portal is a mobile-first PWA; the firm experience is desktop-optimised.</w:t>
      </w:r>
    </w:p>
    <w:p>
      <w:pPr>
        <w:pStyle w:val="Heading2"/>
      </w:pPr>
      <w:r>
        <w:t>21. Key Application Flows</w:t>
      </w:r>
    </w:p>
    <w:p>
      <w:pPr>
        <w:pStyle w:val="ListBullet"/>
      </w:pPr>
      <w:r>
        <w:rPr>
          <w:b/>
        </w:rPr>
        <w:t xml:space="preserve">Authentication — </w:t>
      </w:r>
      <w:r>
        <w:t>firm user (email/password + optional MFA challenge → aal2) vs client portal (separate audience).</w:t>
      </w:r>
    </w:p>
    <w:p>
      <w:pPr>
        <w:pStyle w:val="ListBullet"/>
      </w:pPr>
      <w:r>
        <w:rPr>
          <w:b/>
        </w:rPr>
        <w:t xml:space="preserve">Context switch — </w:t>
      </w:r>
      <w:r>
        <w:t>Firm ↔ Client; returning restores section and scroll; FY selector re-scopes all data.</w:t>
      </w:r>
    </w:p>
    <w:p>
      <w:pPr>
        <w:pStyle w:val="ListBullet"/>
      </w:pPr>
      <w:r>
        <w:rPr>
          <w:b/>
        </w:rPr>
        <w:t xml:space="preserve">Onboarding — </w:t>
      </w:r>
      <w:r>
        <w:t>lead → prospect (proposal) → onboarding (10-step) → active (recurring cycles auto-created).</w:t>
      </w:r>
    </w:p>
    <w:p>
      <w:pPr>
        <w:pStyle w:val="ListBullet"/>
      </w:pPr>
      <w:r>
        <w:rPr>
          <w:b/>
        </w:rPr>
        <w:t xml:space="preserve">Recurring GST cycle — </w:t>
      </w:r>
      <w:r>
        <w:t>data → prepare → reconcile (2B/IMS) → CA review → file (CA-confirmed) → acknowledge.</w:t>
      </w:r>
    </w:p>
    <w:p>
      <w:pPr>
        <w:pStyle w:val="ListBullet"/>
      </w:pPr>
      <w:r>
        <w:rPr>
          <w:b/>
        </w:rPr>
        <w:t xml:space="preserve">Document ingestion — </w:t>
      </w:r>
      <w:r>
        <w:t>upload → detect → OCR (if scanned) → classify + dedupe → extract (confidence) → draft → CA review → Timeline.</w:t>
      </w:r>
    </w:p>
    <w:p>
      <w:pPr>
        <w:pStyle w:val="ListBullet"/>
      </w:pPr>
      <w:r>
        <w:rPr>
          <w:b/>
        </w:rPr>
        <w:t xml:space="preserve">Year-end — </w:t>
      </w:r>
      <w:r>
        <w:t>the 10-phase workflow, auto-triggered ~3 months before FY end.</w:t>
      </w:r>
    </w:p>
    <w:p>
      <w:pPr>
        <w:pStyle w:val="ListBullet"/>
      </w:pPr>
      <w:r>
        <w:rPr>
          <w:b/>
        </w:rPr>
        <w:t xml:space="preserve">Demo Filing — </w:t>
      </w:r>
      <w:r>
        <w:t>prepare → validate → simulate → processing → demo ARN/SRN → status/dashboard — clearly labelled, submits nowhere.</w:t>
      </w:r>
    </w:p>
    <w:p>
      <w:pPr>
        <w:pStyle w:val="Heading2"/>
      </w:pPr>
      <w:r>
        <w:t>22. Non-Functional Acceptance (targets)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NFR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9"/>
              </w:rPr>
              <w:t>Acceptance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Isolation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Cross-firm and unauthorised cross-client access impossible at the database (RLS negative tests pass).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Financial correctness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No float in money paths; every journal balances; no write to a locked period.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Triage performance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Home and Critical/At-Risk filter return sub-second on a 100-client dataset.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Auditability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Any client’s full history reconstructs from the Timeline; financial records immutable.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CA-confirm gate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No code path submits to a government rail without an explicit, logged confirmation.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DPDP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Consent, rights, retention and Aadhaar-masking controls present and tested.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IV — Execution &amp; Current State</w:t>
      </w:r>
    </w:p>
    <w:p>
      <w:pPr>
        <w:pStyle w:val="Heading2"/>
      </w:pPr>
      <w:r>
        <w:t>23. How It Was Built — Preparation &amp; Execution</w:t>
      </w:r>
    </w:p>
    <w:p>
      <w:r>
        <w:rPr>
          <w:b w:val="0"/>
          <w:i w:val="0"/>
        </w:rPr>
        <w:t>Sequencing followed a dependency-ordered roadmap (infrastructure first, features on top), delivered in batches with completion reports and design reviews at each step:</w:t>
      </w:r>
    </w:p>
    <w:p>
      <w:pPr>
        <w:pStyle w:val="ListNumber"/>
      </w:pPr>
      <w:r>
        <w:t>Phase 0 — architecture reset: dual-layer shell, context switch, Timeline service, entity/health schema, DPDP scaffolding.</w:t>
      </w:r>
    </w:p>
    <w:p>
      <w:pPr>
        <w:pStyle w:val="ListNumber"/>
      </w:pPr>
      <w:r>
        <w:t>Phases 1–5 — accounting foundation; sales/purchases double-entry; client-scoped compliance (GST/TDS/MCA); payroll auto-journals; fixed assets + bank reconciliation; Tally import.</w:t>
      </w:r>
    </w:p>
    <w:p>
      <w:pPr>
        <w:pStyle w:val="ListNumber"/>
      </w:pPr>
      <w:r>
        <w:t>Phase 6 — year-end accounts production (10-phase).</w:t>
      </w:r>
    </w:p>
    <w:p>
      <w:pPr>
        <w:pStyle w:val="ListNumber"/>
      </w:pPr>
      <w:r>
        <w:t>Phases 7–9 — client lifecycle; relationship intelligence; Health Engine.</w:t>
      </w:r>
    </w:p>
    <w:p>
      <w:pPr>
        <w:pStyle w:val="ListNumber"/>
      </w:pPr>
      <w:r>
        <w:t>Phases 10–11 — work items + pipeline automation; client portal + WhatsApp channel; signing/UDIN scaffolding.</w:t>
      </w:r>
    </w:p>
    <w:p>
      <w:pPr>
        <w:pStyle w:val="ListNumber"/>
      </w:pPr>
      <w:r>
        <w:t>Phases 12–13 — AI insights; AI memory &amp; compounding intelligence.</w:t>
      </w:r>
    </w:p>
    <w:p>
      <w:pPr>
        <w:pStyle w:val="ListNumber"/>
      </w:pPr>
      <w:r>
        <w:t>Amendments v1.1 — Revenue Operations &amp; Billing, Firm-as-Internal-Client (guardrails G1–G4), Knowledge Base (migrations applied).</w:t>
      </w:r>
    </w:p>
    <w:p>
      <w:pPr>
        <w:pStyle w:val="ListNumber"/>
      </w:pPr>
      <w:r>
        <w:t>Module 9.0 (M1–M6) — the Practice OS: unified roles, RBAC + ABAC, assignment-scoped RLS, governance/approvals, identity admin, audit, sessions, staged MFA + per-user-JWT.</w:t>
      </w:r>
    </w:p>
    <w:p>
      <w:pPr>
        <w:pStyle w:val="ListNumber"/>
      </w:pPr>
      <w:r>
        <w:t>Pre-trial hardening — performance fixes; removal of production-visible mock data; bulk CSV/XLSX import; Demo Filing mode; a full multi-user authorization validation; the MFA enrollment + login-challenge flow.</w:t>
      </w:r>
    </w:p>
    <w:p>
      <w:pPr>
        <w:pStyle w:val="Heading2"/>
      </w:pPr>
      <w:r>
        <w:t>24. Current State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Firm Layer (Home/Clients/Deadlines/Work/Team/AI/Pipeline)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Client accounting (CoA, sales, purchases, journals, ledger, fixed assets, banking)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GST / TDS / MCA / ITR workspaces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 (prep)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Prepare + CA-confirm; no live portal submission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Payroll (incl. Aadhaar last-4)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Year-end (10-phase) + XBRL prep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Documents + AI extraction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Health Engine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🟡 Partial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Compliance + several dimensions live; rest neutral until data populated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AI copilot / memory / insights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Revenue Ops / Billing / Knowledge / Firm-as-Internal-Client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Practice OS (RBAC+ABAC+RLS, governance, identity, audit)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MFA + per-user-JWT cutover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 (flag-gated)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Validated; enable via env after enrollment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Bulk import (CSV/XLSX)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Demo Filing mode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Live government-portal filing (GST/ITR/MCA)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⛔ Deferred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By design — prepare + CA-confirm; GSP/ERI live pipes phased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Account Aggregator live pipe / eSign-DSC / WhatsApp / UDIN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🟡 / ⛔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Abstractions + partial; live integrations phased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Practice profitability analytics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⛔ Deferred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25. Deployment &amp; Operations</w:t>
      </w:r>
    </w:p>
    <w:p>
      <w:pPr>
        <w:pStyle w:val="ListBullet"/>
      </w:pPr>
      <w:r>
        <w:rPr>
          <w:b/>
        </w:rPr>
        <w:t xml:space="preserve">Frontend — </w:t>
      </w:r>
      <w:r>
        <w:t>Cloudflare Pages, auto-deployed from main (caflow-ai.pages.dev).</w:t>
      </w:r>
    </w:p>
    <w:p>
      <w:pPr>
        <w:pStyle w:val="ListBullet"/>
      </w:pPr>
      <w:r>
        <w:rPr>
          <w:b/>
        </w:rPr>
        <w:t xml:space="preserve">Backend — </w:t>
      </w:r>
      <w:r>
        <w:t>FastAPI on Render, auto-deployed from main.</w:t>
      </w:r>
    </w:p>
    <w:p>
      <w:pPr>
        <w:pStyle w:val="ListBullet"/>
      </w:pPr>
      <w:r>
        <w:rPr>
          <w:b/>
        </w:rPr>
        <w:t xml:space="preserve">Database — </w:t>
      </w:r>
      <w:r>
        <w:t>Supabase Postgres with RLS; forward-only migrations (087 applied).</w:t>
      </w:r>
    </w:p>
    <w:p>
      <w:pPr>
        <w:pStyle w:val="ListBullet"/>
      </w:pPr>
      <w:r>
        <w:rPr>
          <w:b/>
        </w:rPr>
        <w:t xml:space="preserve">CI — </w:t>
      </w:r>
      <w:r>
        <w:t>lint + typecheck + build (Node) and pytest (Python) on every PR; Cloudflare + Supabase preview checks.</w:t>
      </w:r>
    </w:p>
    <w:p>
      <w:pPr>
        <w:pStyle w:val="ListBullet"/>
      </w:pPr>
      <w:r>
        <w:rPr>
          <w:b/>
        </w:rPr>
        <w:t xml:space="preserve">Feature flags (backend env on Render) — </w:t>
      </w:r>
      <w:r>
        <w:t>USE_USER_JWT (per-user JWT cutover), REQUIRE_MFA + MFA_REQUIRED_ROLES (MFA enforcement). Both default OFF; enable after the operational steps below.</w:t>
      </w:r>
    </w:p>
    <w:p>
      <w:r>
        <w:rPr>
          <w:b w:val="0"/>
          <w:i/>
        </w:rPr>
        <w:t>To enable MFA: (1) enable TOTP in Supabase Auth; (2) Partners enrol at Settings → Security; (3) set REQUIRE_MFA=true on Render. To enable per-user JWT: add SUPABASE_ANON_KEY on Render, set USE_USER_JWT=true, then canary. Rollback for either is a single env flip + restart.</w:t>
      </w:r>
    </w:p>
    <w:p>
      <w:pPr>
        <w:pStyle w:val="Heading2"/>
      </w:pPr>
      <w:r>
        <w:t>26. Trial Readiness</w:t>
      </w:r>
    </w:p>
    <w:p>
      <w:r>
        <w:rPr>
          <w:b w:val="0"/>
          <w:i w:val="0"/>
        </w:rPr>
        <w:t>The MVP is pilot-ready. Navigation, routing and link integrity are clean; the build compiles and prerenders all routes; authorization is validated across the 7-persona matrix; imports, demo filing and the core client/compliance/accounting workflows are implemented. The recommended pre-trial operational steps are: enable leaked-password protection in Supabase; keep the Render backend warm; enrol Partners in MFA before enabling REQUIRE_MFA; and run the per-user-JWT cutover after the trial (it is validated and reversible).</w:t>
      </w:r>
    </w:p>
    <w:p>
      <w:pPr>
        <w:pStyle w:val="Heading2"/>
      </w:pPr>
      <w:r>
        <w:t>27. Roadmap &amp; The 10→100 Walls</w:t>
      </w:r>
    </w:p>
    <w:p>
      <w:pPr>
        <w:pStyle w:val="ListBullet"/>
      </w:pPr>
      <w:r>
        <w:rPr>
          <w:b/>
        </w:rPr>
        <w:t xml:space="preserve">Signing (DSC/eSign) — </w:t>
      </w:r>
      <w:r>
        <w:t>the true scaling wall; first-class signing layer, batch-signing UX, HSM bulk-signing under CCA/legal review.</w:t>
      </w:r>
    </w:p>
    <w:p>
      <w:pPr>
        <w:pStyle w:val="ListBullet"/>
      </w:pPr>
      <w:r>
        <w:rPr>
          <w:b/>
        </w:rPr>
        <w:t xml:space="preserve">Live government rails — </w:t>
      </w:r>
      <w:r>
        <w:t>GSP (GST/e-invoice/e-way), ERI (income tax), MCA portal handoff, TRACES/AIS automation — phased, partner-dependent.</w:t>
      </w:r>
    </w:p>
    <w:p>
      <w:pPr>
        <w:pStyle w:val="ListBullet"/>
      </w:pPr>
      <w:r>
        <w:rPr>
          <w:b/>
        </w:rPr>
        <w:t xml:space="preserve">Account Aggregator — </w:t>
      </w:r>
      <w:r>
        <w:t>the highest-leverage data addition; ingestion abstraction already built.</w:t>
      </w:r>
    </w:p>
    <w:p>
      <w:pPr>
        <w:pStyle w:val="ListBullet"/>
      </w:pPr>
      <w:r>
        <w:rPr>
          <w:b/>
        </w:rPr>
        <w:t xml:space="preserve">WhatsApp + portal depth — </w:t>
      </w:r>
      <w:r>
        <w:t>deepen the parallel client channel.</w:t>
      </w:r>
    </w:p>
    <w:p>
      <w:pPr>
        <w:pStyle w:val="ListBullet"/>
      </w:pPr>
      <w:r>
        <w:rPr>
          <w:b/>
        </w:rPr>
        <w:t xml:space="preserve">Practice intelligence — </w:t>
      </w:r>
      <w:r>
        <w:t>profitability, revenue-vs-effort, advisory product (analytics foundation accommodated).</w:t>
      </w:r>
    </w:p>
    <w:p>
      <w:pPr>
        <w:pStyle w:val="ListBullet"/>
      </w:pPr>
      <w:r>
        <w:rPr>
          <w:b/>
        </w:rPr>
        <w:t xml:space="preserve">Compounding memory — </w:t>
      </w:r>
      <w:r>
        <w:t>the semantic/predictive layers deepen with tenure — the long-term moat.</w:t>
      </w:r>
    </w:p>
    <w:p>
      <w:pPr>
        <w:pStyle w:val="Heading2"/>
      </w:pPr>
      <w:r>
        <w:t>28.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Target / definition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Clients per CA (north star)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Median active clients per professional rises materially toward 100 within 12 months.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Time-to-context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Understand any client from the Timeline in under 60 seconds.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Morning triage time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Partner identifies the day’s critical clients in under 30 seconds on Home.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Missed-deadline rate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Near-zero missed statutory deadlines; every miss explainable from the trail.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Document throughput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Median upload-to-confirmed-draft under ~30 seconds of CA time.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Insight precision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High acted-on rate; low suppression as noise.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Retention / moat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Net revenue retention rises with tenure; low voluntary churn after Year 2.</w:t>
            </w:r>
          </w:p>
        </w:tc>
      </w:tr>
    </w:tbl>
    <w:p/>
    <w:p>
      <w:pPr>
        <w:pStyle w:val="Heading2"/>
      </w:pPr>
      <w:r>
        <w:t>29. Risks, Assumptions &amp; Open Questions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Risk</w:t>
            </w:r>
          </w:p>
        </w:tc>
        <w:tc>
          <w:tcPr>
            <w:tcW w:type="dxa" w:w="5472"/>
          </w:tcPr>
          <w:p>
            <w:r/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DSC signing is the true scaling wall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First-class signing layer; eSign substitution where legal; batch UX; evaluate HSM bulk-signing.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Client portal adoption resistance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WhatsApp as parallel channel; minimise client friction; the CA is the adopter.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GSP/ERI dependency &amp; lead time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Start partner onboarding early; design to swap providers; prepare-and-handoff fallback.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LLM data-governance exposure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Masking/redaction before inference; configurable provider; India-region option.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Statutory change churn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Versioned compliance rule engine with a clear update owner.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Scope creep vs the 10→100 discipline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Every feature must pass the 10→100 filter; formal decision to change frozen scope.</w:t>
            </w:r>
          </w:p>
        </w:tc>
      </w:tr>
    </w:tbl>
    <w:p/>
    <w:p>
      <w:r>
        <w:rPr>
          <w:b w:val="0"/>
          <w:i/>
        </w:rPr>
        <w:t>Assumptions: PracticeSync onboards as an ASP atop a licensed GSP and registers as a Type-2 ERI; MCA21 V3 exposes no open third-party filing API in v1 (prepare + portal handoff); firms accept a desktop-first firm experience with a mobile-first client portal.</w:t>
      </w:r>
    </w:p>
    <w:p>
      <w:r>
        <w:rPr>
          <w:b w:val="0"/>
          <w:i/>
        </w:rPr>
        <w:t>Open questions: pricing model (per-CA seat vs per-client vs hybrid); which GSP/ERI/AA-TSP partners to commit to first; HSM bulk-signing viability under ICAI/CCA norms.</w:t>
      </w:r>
    </w:p>
    <w:p>
      <w:pPr>
        <w:pStyle w:val="Heading2"/>
      </w:pPr>
      <w:r>
        <w:t>30.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10→100 Principle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Scale from 10 to 100 clients without 10x operational complexity.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Work Item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One deliverable for one client in one period (e.g. GSTR-1 — ABC Pvt Ltd — Jun 2025).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Timeline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Append-only, human-readable institutional memory per client (episodic layer).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Health Engine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Multi-dimension triage producing a composite score, per-dimension diagnosis and hard overrides.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RBAC / ABAC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Role-based access control / attribute (assignment)-based access control.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RLS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Row-Level Security — database-enforced firm/client isolation.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Draft Record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An extraction-created record pending CA confirmation; excluded from reporting/filing until confirmed.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GSP / ASP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GST Suvidha Provider (GSTN-authorised gateway) / Application Service Provider.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ERI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e-Return Intermediary — the authorised regime for programmatic income-tax filing.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AA / FIU / FIP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Account Aggregator framework; Financial Information User / Provider.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UDIN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Unique Document Identification Number for CA attestations (ICAI portal).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DPDP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Digital Personal Data Protection Act, 2023.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Demo Filing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 clearly-labelled workflow simulation; generates demo references and never contacts a portal.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 — Pitch Appendix</w:t>
      </w:r>
    </w:p>
    <w:p>
      <w:pPr>
        <w:pStyle w:val="Heading2"/>
      </w:pPr>
      <w:r>
        <w:t>31. Pitch Narrative &amp; Suggested Deck Outline</w:t>
      </w:r>
    </w:p>
    <w:p>
      <w:r>
        <w:rPr>
          <w:b w:val="0"/>
          <w:i w:val="0"/>
        </w:rPr>
        <w:t>Use the following as the spine of a pitch deck / PPT. Each bullet is a slide; the sub-points are the talking points (all drawn from the sections above).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Slide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Key message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Title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PracticeSync — the operating system for Indian CA firms. “10 → 100 clients, without 10x complexity.”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The problem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CA practices are capacity-bound; fragmented tools (Tally + ClearTax/Winman + Excel + WhatsApp); knowledge trapped in people; penalty-bearing, deadline-dense compliance.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Why now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Government rails opening via GSP/ERI/AA; LLM extraction now reliable; DPDP makes purpose-built, auditable platforms the baseline.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The insight (10→100)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Make professional judgement the only thing that scales linearly; the system absorbs memory, coordination, triage and routine.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The product — two layers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Firm Layer (scale: triage, deadlines, work, team, health) + Client Layer (depth: accounting, compliance, payroll, year-end, tax, documents, AI).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Live demo / screens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Home triage in 30s; a client context switch; a compliance workspace; document AI extract → draft → confirm; Demo Filing.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The moat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Compounding, domain-specific client memory (episodic → semantic → predictive). Year 5: a new hire inherits years of knowledge on day one.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Trust &amp; safety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CA confirms / system executes; immutable journals; paise arithmetic; RLS + RBAC + ABAC + MFA; DPDP; full audit trail.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Architecture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Multi-tenant; Next.js + FastAPI + Supabase/Postgres (RLS); integration gateway; LLM behind an interface (replaceable).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What’s built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MVP complete: full accounting, compliance prep, payroll, year-end, documents, AI, Practice OS, billing, portal — pilot-ready today.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Go-to-market &amp; moat economics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The Partner is the buyer; net revenue retention compounds with tenure; switching cost rises with memory.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Roadmap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Signing (the scaling wall), live GSP/ERI/AA rails, WhatsApp depth, practice intelligence.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Ask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Funding / pilots / partner commitments (GSP/ERI/AA-TSP). Pricing: per-CA vs per-client (open).</w:t>
            </w:r>
          </w:p>
        </w:tc>
      </w:tr>
    </w:tbl>
    <w:p/>
    <w:p>
      <w:r>
        <w:rPr>
          <w:b w:val="0"/>
          <w:i/>
          <w:color w:val="182350"/>
        </w:rPr>
        <w:t>One-line thesis (for the title slide): “Turn a CA’s scarce professional judgement into the only thing that scales linearly with clients — and let the system absorb everything else: memory, coordination, triage and routine preparation.”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23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23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23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23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