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47F55427" w:rsidR="00EC729C" w:rsidRDefault="00FE0F4C">
      <w:pPr>
        <w:pStyle w:val="AbstractBody"/>
      </w:pPr>
      <w:r>
        <w:t>Significant recent advances in Machine Learning have resulted in an explosion of interest in the field and its possible applications</w:t>
      </w:r>
      <w:r w:rsidR="00E6242E">
        <w:t>.  Reinforcement Learning is a sub-field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p>
    <w:p w14:paraId="2A2D5678" w14:textId="77777777" w:rsidR="00EC729C" w:rsidRDefault="00EC729C">
      <w:pPr>
        <w:pStyle w:val="FirstParagraph"/>
        <w:rPr>
          <w:color w:val="000000"/>
        </w:rPr>
      </w:pPr>
      <w:r>
        <w:rPr>
          <w:rFonts w:ascii="Times New Roman" w:hAnsi="Times New Roman"/>
        </w:rPr>
        <w:t xml:space="preserve">The layout and style to be adopted in the preparation of your paper are described and illustrated through an example. </w:t>
      </w:r>
      <w:r>
        <w:rPr>
          <w:rFonts w:ascii="Times New Roman" w:hAnsi="Times New Roman"/>
          <w:b/>
          <w:i/>
        </w:rPr>
        <w:t>Authors are requested to strictly adhere to these instructions</w:t>
      </w:r>
      <w:r>
        <w:rPr>
          <w:rFonts w:ascii="Times New Roman" w:hAnsi="Times New Roman"/>
        </w:rPr>
        <w:t xml:space="preserve">. </w:t>
      </w:r>
      <w:r>
        <w:rPr>
          <w:rFonts w:ascii="Times New Roman" w:hAnsi="Times New Roman"/>
          <w:color w:val="000000"/>
        </w:rPr>
        <w:t xml:space="preserve">If you are already familiar with Word, then the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template should be of great help for you since it will change the layout so as to suit </w:t>
      </w:r>
      <w:r w:rsidR="00B926A2">
        <w:rPr>
          <w:rFonts w:ascii="Times New Roman" w:hAnsi="Times New Roman"/>
          <w:color w:val="000000"/>
        </w:rPr>
        <w:t xml:space="preserve">FOCAPD </w:t>
      </w:r>
      <w:r w:rsidR="0087577C">
        <w:rPr>
          <w:rFonts w:ascii="Times New Roman" w:hAnsi="Times New Roman"/>
          <w:color w:val="000000"/>
        </w:rPr>
        <w:t>2019</w:t>
      </w:r>
      <w:r>
        <w:rPr>
          <w:rFonts w:ascii="Times New Roman" w:hAnsi="Times New Roman"/>
          <w:color w:val="000000"/>
        </w:rPr>
        <w:t xml:space="preserve"> requirements. Nonetheless, the use of the document template is not mandatory. </w:t>
      </w:r>
    </w:p>
    <w:p w14:paraId="285B05CC" w14:textId="77777777" w:rsidR="00EC729C" w:rsidRDefault="00B97EA7">
      <w:pPr>
        <w:rPr>
          <w:color w:val="000000"/>
        </w:rPr>
      </w:pPr>
      <w:r>
        <w:rPr>
          <w:color w:val="000000"/>
        </w:rPr>
        <w:t>Authors are expected to submit</w:t>
      </w:r>
      <w:r w:rsidR="0087577C">
        <w:rPr>
          <w:color w:val="000000"/>
        </w:rPr>
        <w:t xml:space="preserve"> their paper by </w:t>
      </w:r>
      <w:r w:rsidR="0087577C">
        <w:rPr>
          <w:color w:val="000000"/>
        </w:rPr>
        <w:br/>
        <w:t>December 1, 201</w:t>
      </w:r>
      <w:r w:rsidR="00B926A2">
        <w:rPr>
          <w:color w:val="000000"/>
        </w:rPr>
        <w:t>8</w:t>
      </w:r>
      <w:r>
        <w:rPr>
          <w:color w:val="000000"/>
        </w:rPr>
        <w:t xml:space="preserve">. </w:t>
      </w:r>
      <w:r w:rsidR="0087577C">
        <w:rPr>
          <w:color w:val="000000"/>
        </w:rPr>
        <w:t>Only PDF files will be accepted for upload.</w:t>
      </w:r>
      <w:r>
        <w:rPr>
          <w:color w:val="000000"/>
        </w:rPr>
        <w:t xml:space="preserve"> </w:t>
      </w:r>
      <w:r w:rsidR="00EC729C">
        <w:rPr>
          <w:color w:val="000000"/>
        </w:rPr>
        <w:t xml:space="preserve">The papers should be prepared if possible using Microsoft Word.  </w:t>
      </w:r>
      <w:proofErr w:type="spellStart"/>
      <w:r w:rsidR="00EC729C">
        <w:rPr>
          <w:color w:val="000000"/>
        </w:rPr>
        <w:t>LaTex</w:t>
      </w:r>
      <w:proofErr w:type="spellEnd"/>
      <w:r w:rsidR="00EC729C">
        <w:rPr>
          <w:color w:val="000000"/>
        </w:rPr>
        <w:t xml:space="preserve"> can be used provided the format is similar to the one of this template.  </w:t>
      </w:r>
    </w:p>
    <w:p w14:paraId="46FA3289" w14:textId="77777777" w:rsidR="00EC729C" w:rsidRDefault="00EC729C">
      <w:r>
        <w:t xml:space="preserve">As an author, you are fully responsible for the quality and appearance of your contribution.  We request that you observe   carefully these instructions for preparing your manuscript. </w:t>
      </w:r>
      <w:r>
        <w:rPr>
          <w:i/>
        </w:rPr>
        <w:t>In almost all situations, use of the built-in template styles will save you from the grim details of fonts, sizes, line spacings, indentation, etc.</w:t>
      </w:r>
      <w:r>
        <w:t xml:space="preserve">  Failure to produce a paper in proper format will involve: (1) a request for a reformatting to meet the standards, or (2) the possibility that your contribution will not appear in the final Conference Proceedings. </w:t>
      </w:r>
    </w:p>
    <w:p w14:paraId="077179EE" w14:textId="41245020" w:rsidR="00EC729C" w:rsidRDefault="00B04A80" w:rsidP="0087577C">
      <w:pPr>
        <w:pStyle w:val="MainHeading"/>
        <w:outlineLvl w:val="0"/>
      </w:pPr>
      <w:r>
        <w:t>Problem Statement</w:t>
      </w:r>
      <w:r w:rsidR="00EC729C">
        <w:t xml:space="preserve"> </w:t>
      </w:r>
    </w:p>
    <w:p w14:paraId="729A0E8D" w14:textId="77777777"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p>
    <w:p w14:paraId="275F4FDE" w14:textId="25F67A79" w:rsidR="00EC729C" w:rsidRDefault="00BB59B9" w:rsidP="00A21266">
      <w:r>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 xml:space="preserve">is the set of all actions the agent can take (turn the handlebars, pedal at </w:t>
      </w:r>
      <w:r w:rsidR="00614FD5">
        <w:lastRenderedPageBreak/>
        <w:t xml:space="preserve">some speed, etc.),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r>
          <w:rPr>
            <w:rFonts w:ascii="Cambria Math" w:hAnsi="Cambria Math"/>
          </w:rPr>
          <m:t>)</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7CD1F07B"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m:t>
        </m:r>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1B05A6F6"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6B531B1E"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a policy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w:t>
      </w:r>
      <w:proofErr w:type="gramStart"/>
      <w:r w:rsidR="00D84594">
        <w:rPr>
          <w:rFonts w:ascii="Times New Roman" w:hAnsi="Times New Roman"/>
        </w:rPr>
        <w:t xml:space="preserve">example, </w:t>
      </w:r>
      <w:r w:rsidR="00EC729C">
        <w:t xml:space="preserve"> </w:t>
      </w:r>
      <w:r w:rsidR="00D84594">
        <w:t>Shulman</w:t>
      </w:r>
      <w:proofErr w:type="gramEnd"/>
      <w:r w:rsidR="00D84594">
        <w:t xml:space="preserve"> et al., 2015</w:t>
      </w:r>
      <w:r w:rsidR="006A2732">
        <w:t xml:space="preserve"> and 2017; </w:t>
      </w:r>
      <w:proofErr w:type="spellStart"/>
      <w:r w:rsidR="006A2732">
        <w:t>Mnih</w:t>
      </w:r>
      <w:proofErr w:type="spellEnd"/>
      <w:r w:rsidR="006A2732">
        <w:t xml:space="preserve"> et al., 2016; and Silver et al., 2017 and 2018), all purely from 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21AA1CBA" w:rsidR="004B6D6A" w:rsidRPr="00A21266" w:rsidRDefault="004B6D6A" w:rsidP="004B6D6A">
      <w:r>
        <w:rPr>
          <w:rFonts w:ascii="Times New Roman" w:hAnsi="Times New Roman"/>
        </w:rPr>
        <w:t>The Bellman equation was introduced in the late 195</w:t>
      </w:r>
      <w:r w:rsidRPr="004B6D6A">
        <w:t xml:space="preserve"> </w:t>
      </w:r>
    </w:p>
    <w:p w14:paraId="2F4F87FF" w14:textId="3294377C" w:rsidR="004B6D6A" w:rsidRDefault="004B6D6A" w:rsidP="004B6D6A">
      <w:pPr>
        <w:pStyle w:val="MainHeading"/>
        <w:outlineLvl w:val="0"/>
      </w:pPr>
      <w:r>
        <w:t>Disadvantages</w:t>
      </w:r>
      <w:bookmarkStart w:id="0" w:name="_GoBack"/>
      <w:bookmarkEnd w:id="0"/>
    </w:p>
    <w:p w14:paraId="6E4441BC" w14:textId="1920FD82" w:rsidR="00D93F6B" w:rsidRDefault="004B6D6A" w:rsidP="004B6D6A">
      <w:r>
        <w:rPr>
          <w:rFonts w:ascii="Times New Roman" w:hAnsi="Times New Roman"/>
        </w:rPr>
        <w:t>The Bellman equation was introduced in the late 195</w:t>
      </w:r>
    </w:p>
    <w:p w14:paraId="29E79EAA" w14:textId="77777777"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include acknowledgments of financial, institutional and personal support.</w:t>
      </w:r>
    </w:p>
    <w:p w14:paraId="6DE096E9" w14:textId="77777777" w:rsidR="00EC729C" w:rsidRDefault="00EC729C" w:rsidP="0087577C">
      <w:pPr>
        <w:pStyle w:val="MainHeading"/>
        <w:outlineLvl w:val="0"/>
      </w:pPr>
      <w:r>
        <w:t>References</w:t>
      </w:r>
    </w:p>
    <w:p w14:paraId="5C0A604E" w14:textId="77777777" w:rsidR="00EC729C" w:rsidRDefault="00EC729C">
      <w:r>
        <w:t>References (</w:t>
      </w:r>
      <w:r>
        <w:rPr>
          <w:i/>
        </w:rPr>
        <w:t>Reference</w:t>
      </w:r>
      <w:r>
        <w:t xml:space="preserve"> style) should be listed in alphabetic order by surname at the end of the paper following the section title </w:t>
      </w:r>
      <w:r>
        <w:rPr>
          <w:b/>
        </w:rPr>
        <w:t>References</w:t>
      </w:r>
      <w:r>
        <w:t xml:space="preserve"> right after the Acknowledgment section. Do not begin a new page with the Reference section unless it is absolutely necessary. The References section, with the exception of the title, should be typed in 9-point font. Each line of a reference, except the first, should be indented 0.5” from the left margin. All references included in the list should be cited in the text and vice versa. References are to be cited in the text by author’s name (year), or (authors’ names, year). For instance, Smith and Jones (1970), or (</w:t>
      </w:r>
      <w:proofErr w:type="spellStart"/>
      <w:r>
        <w:t>Ekeland</w:t>
      </w:r>
      <w:proofErr w:type="spellEnd"/>
      <w:r>
        <w:t xml:space="preserve"> et al., 1985). The expression et al. should be used when there are three or more authors. Two or more papers by the same authors published in different years should be </w:t>
      </w:r>
      <w:r>
        <w:rPr>
          <w:rFonts w:ascii="Times New Roman" w:hAnsi="Times New Roman"/>
        </w:rPr>
        <w:t>chronologically</w:t>
      </w:r>
      <w:r>
        <w:t xml:space="preserve"> arranged. Two or more papers by the same authors published in the same year should be distinguished by letters after the year.</w:t>
      </w:r>
    </w:p>
    <w:p w14:paraId="206A0056" w14:textId="32A28AD8" w:rsidR="003A6E84" w:rsidRDefault="003A6E84" w:rsidP="003A6E84">
      <w:pPr>
        <w:pStyle w:val="Reference"/>
        <w:rPr>
          <w:lang w:val="es-ES_tradnl"/>
        </w:rPr>
      </w:pPr>
      <w:proofErr w:type="spellStart"/>
      <w:r>
        <w:rPr>
          <w:lang w:val="es-ES_tradnl"/>
        </w:rPr>
        <w:t>Mnih</w:t>
      </w:r>
      <w:proofErr w:type="spellEnd"/>
      <w:r>
        <w:rPr>
          <w:lang w:val="es-ES_tradnl"/>
        </w:rPr>
        <w:t>, V.</w:t>
      </w:r>
      <w:proofErr w:type="gramStart"/>
      <w:r>
        <w:rPr>
          <w:lang w:val="es-ES_tradnl"/>
        </w:rPr>
        <w:t>,  et al.</w:t>
      </w:r>
      <w:proofErr w:type="gramEnd"/>
      <w:r>
        <w:rPr>
          <w:lang w:val="es-ES_tradnl"/>
        </w:rPr>
        <w:t xml:space="preserve">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4E0306C1"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sectPr w:rsidR="008978E6">
      <w:headerReference w:type="even" r:id="rId13"/>
      <w:headerReference w:type="default" r:id="rId14"/>
      <w:headerReference w:type="first" r:id="rId15"/>
      <w:footerReference w:type="first" r:id="rId16"/>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3A066" w14:textId="77777777" w:rsidR="00FB4371" w:rsidRDefault="00FB4371">
      <w:r>
        <w:separator/>
      </w:r>
    </w:p>
  </w:endnote>
  <w:endnote w:type="continuationSeparator" w:id="0">
    <w:p w14:paraId="758FE4EF" w14:textId="77777777" w:rsidR="00FB4371" w:rsidRDefault="00FB4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614FD5" w:rsidRDefault="0061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614FD5" w:rsidRPr="00CF1C4E" w:rsidRDefault="00614FD5">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614FD5" w:rsidRDefault="00614FD5">
    <w:pPr>
      <w:pStyle w:val="Footer"/>
      <w:widowControl w:val="0"/>
    </w:pPr>
    <w:r>
      <w:tab/>
    </w:r>
  </w:p>
  <w:p w14:paraId="4F5D6659" w14:textId="77777777" w:rsidR="00614FD5" w:rsidRDefault="00614FD5">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614FD5" w:rsidRDefault="00614FD5">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ABF0" w14:textId="77777777" w:rsidR="00FB4371" w:rsidRDefault="00FB4371">
      <w:pPr>
        <w:widowControl w:val="0"/>
        <w:ind w:firstLine="0"/>
      </w:pPr>
      <w:r>
        <w:separator/>
      </w:r>
    </w:p>
  </w:footnote>
  <w:footnote w:type="continuationSeparator" w:id="0">
    <w:p w14:paraId="1523A35F" w14:textId="77777777" w:rsidR="00FB4371" w:rsidRDefault="00FB4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614FD5" w:rsidRDefault="00614FD5">
    <w:pPr>
      <w:pStyle w:val="Header"/>
      <w:widowControl w:val="0"/>
      <w:rPr>
        <w:caps/>
      </w:rPr>
    </w:pPr>
    <w:r>
      <w:rPr>
        <w:caps/>
      </w:rPr>
      <w:pgNum/>
    </w:r>
    <w:r>
      <w:rPr>
        <w:caps/>
      </w:rPr>
      <w:tab/>
      <w:t>CONTROLLERS</w:t>
    </w:r>
    <w:r>
      <w:rPr>
        <w:caps/>
      </w:rPr>
      <w:tab/>
    </w:r>
  </w:p>
  <w:p w14:paraId="72E87CA2" w14:textId="77777777" w:rsidR="00614FD5" w:rsidRDefault="00614FD5">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614FD5" w:rsidRDefault="00614FD5">
    <w:pPr>
      <w:pStyle w:val="Header"/>
      <w:widowControl w:val="0"/>
    </w:pPr>
    <w:r>
      <w:tab/>
      <w:t>Discrete Linear-Quadratic Controllers</w:t>
    </w:r>
    <w:r>
      <w:tab/>
    </w:r>
    <w:r>
      <w:pgNum/>
    </w:r>
  </w:p>
  <w:p w14:paraId="1BEF55CE" w14:textId="77777777" w:rsidR="00614FD5" w:rsidRDefault="00614FD5">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614FD5" w:rsidRDefault="00614F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614FD5" w:rsidRDefault="00614FD5">
    <w:pPr>
      <w:pStyle w:val="Header"/>
      <w:widowControl w:val="0"/>
      <w:tabs>
        <w:tab w:val="clear" w:pos="4320"/>
        <w:tab w:val="clear" w:pos="8640"/>
        <w:tab w:val="center" w:pos="4860"/>
        <w:tab w:val="right" w:pos="9800"/>
      </w:tabs>
      <w:rPr>
        <w:caps/>
      </w:rPr>
    </w:pPr>
    <w:r>
      <w:rPr>
        <w:caps/>
      </w:rPr>
      <w:tab/>
    </w:r>
  </w:p>
  <w:p w14:paraId="4FFB9BB2" w14:textId="77777777" w:rsidR="00614FD5" w:rsidRDefault="00614FD5">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614FD5" w:rsidRDefault="00614FD5">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614FD5" w:rsidRDefault="00614FD5">
    <w:pPr>
      <w:pStyle w:val="Header"/>
      <w:widowControl w:val="0"/>
    </w:pPr>
    <w:r>
      <w:t>4</w:t>
    </w:r>
    <w:r>
      <w:tab/>
      <w:t>CONTROLLERS</w:t>
    </w:r>
  </w:p>
  <w:p w14:paraId="1B7C8BA7" w14:textId="77777777" w:rsidR="00614FD5" w:rsidRDefault="00614FD5">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5A"/>
    <w:rsid w:val="00012F09"/>
    <w:rsid w:val="0004473A"/>
    <w:rsid w:val="00091FD3"/>
    <w:rsid w:val="000A558D"/>
    <w:rsid w:val="000D11B8"/>
    <w:rsid w:val="001304A3"/>
    <w:rsid w:val="001A74B7"/>
    <w:rsid w:val="003410CF"/>
    <w:rsid w:val="00355074"/>
    <w:rsid w:val="003A6E84"/>
    <w:rsid w:val="003D4BCC"/>
    <w:rsid w:val="00451AB0"/>
    <w:rsid w:val="004776D9"/>
    <w:rsid w:val="00497E12"/>
    <w:rsid w:val="004A4C17"/>
    <w:rsid w:val="004B6D6A"/>
    <w:rsid w:val="004D5883"/>
    <w:rsid w:val="005050E0"/>
    <w:rsid w:val="00594C5A"/>
    <w:rsid w:val="006022F2"/>
    <w:rsid w:val="00614FD5"/>
    <w:rsid w:val="006315AE"/>
    <w:rsid w:val="006A2732"/>
    <w:rsid w:val="00833CC7"/>
    <w:rsid w:val="0087577C"/>
    <w:rsid w:val="008978E6"/>
    <w:rsid w:val="008E32A3"/>
    <w:rsid w:val="009262FC"/>
    <w:rsid w:val="00960F86"/>
    <w:rsid w:val="009B6452"/>
    <w:rsid w:val="00A21266"/>
    <w:rsid w:val="00A7157A"/>
    <w:rsid w:val="00AA59E6"/>
    <w:rsid w:val="00B04A80"/>
    <w:rsid w:val="00B926A2"/>
    <w:rsid w:val="00B97EA7"/>
    <w:rsid w:val="00BB59B9"/>
    <w:rsid w:val="00CE1BCC"/>
    <w:rsid w:val="00CE1C5D"/>
    <w:rsid w:val="00CF1C4E"/>
    <w:rsid w:val="00D31EFA"/>
    <w:rsid w:val="00D3264B"/>
    <w:rsid w:val="00D84594"/>
    <w:rsid w:val="00D93F6B"/>
    <w:rsid w:val="00DB22F1"/>
    <w:rsid w:val="00E145A4"/>
    <w:rsid w:val="00E22FED"/>
    <w:rsid w:val="00E6242E"/>
    <w:rsid w:val="00E91452"/>
    <w:rsid w:val="00EC729C"/>
    <w:rsid w:val="00ED12F8"/>
    <w:rsid w:val="00ED4FC4"/>
    <w:rsid w:val="00FB4371"/>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65FE2"/>
  <w15:docId w15:val="{EC0B590C-244C-594A-8EA1-6A2FCC95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auto"/>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B29F4-E91F-E946-9314-B25DB42FE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1243</Words>
  <Characters>6517</Characters>
  <Application>Microsoft Office Word</Application>
  <DocSecurity>0</DocSecurity>
  <Lines>171</Lines>
  <Paragraphs>65</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9</cp:revision>
  <cp:lastPrinted>1998-02-13T01:58:00Z</cp:lastPrinted>
  <dcterms:created xsi:type="dcterms:W3CDTF">2018-12-29T16:38:00Z</dcterms:created>
  <dcterms:modified xsi:type="dcterms:W3CDTF">2018-12-29T21:15:00Z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